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1BAEC" w14:textId="77777777" w:rsidR="00A46D12" w:rsidRDefault="00A46D12" w:rsidP="009526D9">
      <w:pPr>
        <w:jc w:val="center"/>
        <w:rPr>
          <w:rFonts w:ascii="Microsoft YaHei UI" w:eastAsia="Microsoft YaHei UI" w:hAnsi="Microsoft YaHei UI"/>
          <w:b/>
          <w:bCs/>
          <w:color w:val="000000" w:themeColor="text1"/>
          <w:sz w:val="72"/>
          <w:szCs w:val="72"/>
        </w:rPr>
      </w:pPr>
    </w:p>
    <w:p w14:paraId="6C201596" w14:textId="77777777" w:rsidR="00A46D12" w:rsidRPr="00925FE4" w:rsidRDefault="00BA09FC" w:rsidP="00A46D12">
      <w:pPr>
        <w:jc w:val="center"/>
        <w:rPr>
          <w:rFonts w:ascii="Microsoft YaHei UI" w:eastAsia="Microsoft YaHei UI" w:hAnsi="Microsoft YaHei UI"/>
          <w:b/>
          <w:bCs/>
          <w:color w:val="000000" w:themeColor="text1"/>
          <w:sz w:val="80"/>
          <w:szCs w:val="80"/>
        </w:rPr>
      </w:pPr>
      <w:r w:rsidRPr="00925FE4">
        <w:rPr>
          <w:rFonts w:ascii="Microsoft YaHei UI" w:eastAsia="Microsoft YaHei UI" w:hAnsi="Microsoft YaHei UI"/>
          <w:b/>
          <w:bCs/>
          <w:color w:val="000000" w:themeColor="text1"/>
          <w:sz w:val="80"/>
          <w:szCs w:val="80"/>
        </w:rPr>
        <w:t>汽车行业企业气候行动</w:t>
      </w:r>
    </w:p>
    <w:p w14:paraId="2059B10D" w14:textId="054967CF" w:rsidR="009526D9" w:rsidRPr="00925FE4" w:rsidRDefault="00BA09FC" w:rsidP="00A46D12">
      <w:pPr>
        <w:jc w:val="center"/>
        <w:rPr>
          <w:rFonts w:ascii="Microsoft YaHei UI" w:eastAsia="Microsoft YaHei UI" w:hAnsi="Microsoft YaHei UI"/>
          <w:b/>
          <w:bCs/>
          <w:color w:val="000000" w:themeColor="text1"/>
          <w:sz w:val="80"/>
          <w:szCs w:val="80"/>
        </w:rPr>
      </w:pPr>
      <w:r w:rsidRPr="00925FE4">
        <w:rPr>
          <w:rFonts w:ascii="Microsoft YaHei UI" w:eastAsia="Microsoft YaHei UI" w:hAnsi="Microsoft YaHei UI"/>
          <w:b/>
          <w:bCs/>
          <w:color w:val="000000" w:themeColor="text1"/>
          <w:sz w:val="80"/>
          <w:szCs w:val="80"/>
        </w:rPr>
        <w:t>CATI指数3.0</w:t>
      </w:r>
    </w:p>
    <w:p w14:paraId="52213ACF" w14:textId="25E90DD6" w:rsidR="00A46D12" w:rsidRPr="00A46D12" w:rsidRDefault="00A46D12" w:rsidP="00A46D12">
      <w:pPr>
        <w:jc w:val="center"/>
        <w:rPr>
          <w:rFonts w:ascii="Microsoft YaHei UI" w:eastAsia="Microsoft YaHei UI" w:hAnsi="Microsoft YaHei UI"/>
          <w:b/>
          <w:bCs/>
          <w:color w:val="000000" w:themeColor="text1"/>
          <w:sz w:val="40"/>
          <w:szCs w:val="40"/>
        </w:rPr>
      </w:pPr>
      <w:r w:rsidRPr="00A46D12">
        <w:rPr>
          <w:rFonts w:ascii="Microsoft YaHei UI" w:eastAsia="Microsoft YaHei UI" w:hAnsi="Microsoft YaHei UI"/>
          <w:b/>
          <w:bCs/>
          <w:color w:val="000000" w:themeColor="text1"/>
          <w:sz w:val="40"/>
          <w:szCs w:val="40"/>
        </w:rPr>
        <w:t>Automotive Industry</w:t>
      </w:r>
    </w:p>
    <w:p w14:paraId="69E1B251" w14:textId="77777777" w:rsidR="00A46D12" w:rsidRDefault="00A46D12" w:rsidP="00A46D12">
      <w:pPr>
        <w:jc w:val="center"/>
        <w:rPr>
          <w:rFonts w:ascii="Microsoft YaHei UI" w:eastAsia="Microsoft YaHei UI" w:hAnsi="Microsoft YaHei UI"/>
          <w:b/>
          <w:bCs/>
          <w:color w:val="000000" w:themeColor="text1"/>
          <w:sz w:val="40"/>
          <w:szCs w:val="40"/>
        </w:rPr>
      </w:pPr>
      <w:r w:rsidRPr="00A46D12">
        <w:rPr>
          <w:rFonts w:ascii="Microsoft YaHei UI" w:eastAsia="Microsoft YaHei UI" w:hAnsi="Microsoft YaHei UI"/>
          <w:b/>
          <w:bCs/>
          <w:color w:val="000000" w:themeColor="text1"/>
          <w:sz w:val="40"/>
          <w:szCs w:val="40"/>
        </w:rPr>
        <w:t xml:space="preserve">Corporate Climate Action </w:t>
      </w:r>
    </w:p>
    <w:p w14:paraId="4DBB684E" w14:textId="21E50446" w:rsidR="009526D9" w:rsidRPr="00A46D12" w:rsidRDefault="00A46D12" w:rsidP="00A46D12">
      <w:pPr>
        <w:jc w:val="center"/>
        <w:rPr>
          <w:rFonts w:ascii="Microsoft YaHei UI" w:eastAsia="Microsoft YaHei UI" w:hAnsi="Microsoft YaHei UI"/>
          <w:b/>
          <w:bCs/>
          <w:color w:val="000000" w:themeColor="text1"/>
          <w:sz w:val="40"/>
          <w:szCs w:val="40"/>
        </w:rPr>
      </w:pPr>
      <w:r w:rsidRPr="00A46D12">
        <w:rPr>
          <w:rFonts w:ascii="Microsoft YaHei UI" w:eastAsia="Microsoft YaHei UI" w:hAnsi="Microsoft YaHei UI"/>
          <w:b/>
          <w:bCs/>
          <w:color w:val="000000" w:themeColor="text1"/>
          <w:sz w:val="40"/>
          <w:szCs w:val="40"/>
        </w:rPr>
        <w:t>Transparency Index (CATI) 3.0</w:t>
      </w:r>
    </w:p>
    <w:p w14:paraId="168BAF4F" w14:textId="77777777" w:rsidR="0045535C" w:rsidRPr="007F5F9B" w:rsidRDefault="0045535C" w:rsidP="009526D9">
      <w:pPr>
        <w:rPr>
          <w:rFonts w:ascii="Microsoft YaHei UI" w:eastAsia="Microsoft YaHei UI" w:hAnsi="Microsoft YaHei UI"/>
          <w:b/>
          <w:bCs/>
          <w:color w:val="000000" w:themeColor="text1"/>
          <w:sz w:val="72"/>
          <w:szCs w:val="72"/>
        </w:rPr>
      </w:pPr>
    </w:p>
    <w:p w14:paraId="02DD58FA" w14:textId="77777777" w:rsidR="00C34D91" w:rsidRPr="007F5F9B" w:rsidRDefault="00C34D91" w:rsidP="009526D9">
      <w:pPr>
        <w:rPr>
          <w:rFonts w:ascii="Microsoft YaHei UI" w:eastAsia="Microsoft YaHei UI" w:hAnsi="Microsoft YaHei UI"/>
          <w:b/>
          <w:bCs/>
          <w:sz w:val="28"/>
          <w:szCs w:val="28"/>
        </w:rPr>
      </w:pPr>
    </w:p>
    <w:p w14:paraId="299D5433" w14:textId="77777777" w:rsidR="009526D9" w:rsidRPr="007F5F9B" w:rsidRDefault="009526D9" w:rsidP="009526D9">
      <w:pPr>
        <w:rPr>
          <w:rFonts w:ascii="Microsoft YaHei UI" w:eastAsia="Microsoft YaHei UI" w:hAnsi="Microsoft YaHei UI"/>
          <w:b/>
          <w:bCs/>
          <w:sz w:val="28"/>
          <w:szCs w:val="28"/>
        </w:rPr>
      </w:pPr>
    </w:p>
    <w:p w14:paraId="5D3C386F" w14:textId="77777777" w:rsidR="006968A3" w:rsidRPr="007F5F9B" w:rsidRDefault="006968A3" w:rsidP="009526D9">
      <w:pPr>
        <w:rPr>
          <w:rFonts w:ascii="Microsoft YaHei UI" w:eastAsia="Microsoft YaHei UI" w:hAnsi="Microsoft YaHei UI"/>
          <w:b/>
          <w:bCs/>
          <w:sz w:val="28"/>
          <w:szCs w:val="28"/>
        </w:rPr>
      </w:pPr>
    </w:p>
    <w:p w14:paraId="7BA3BC7C" w14:textId="709EBD11" w:rsidR="000E6009" w:rsidRPr="007F5F9B" w:rsidRDefault="006968A3" w:rsidP="006968A3">
      <w:pPr>
        <w:jc w:val="center"/>
        <w:rPr>
          <w:rFonts w:ascii="Microsoft YaHei UI" w:eastAsia="Microsoft YaHei UI" w:hAnsi="Microsoft YaHei UI"/>
          <w:b/>
          <w:bCs/>
          <w:sz w:val="28"/>
          <w:szCs w:val="28"/>
        </w:rPr>
      </w:pPr>
      <w:r w:rsidRPr="007F5F9B">
        <w:rPr>
          <w:rFonts w:ascii="Microsoft YaHei UI" w:eastAsia="Microsoft YaHei UI" w:hAnsi="Microsoft YaHei UI"/>
          <w:noProof/>
          <w:color w:val="000000" w:themeColor="text1"/>
        </w:rPr>
        <w:drawing>
          <wp:inline distT="0" distB="0" distL="0" distR="0" wp14:anchorId="0FFA950B" wp14:editId="7A62FC46">
            <wp:extent cx="3063058" cy="965723"/>
            <wp:effectExtent l="0" t="0" r="0" b="0"/>
            <wp:docPr id="993989377" name="Picture 99398937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0790" cy="1018606"/>
                    </a:xfrm>
                    <a:prstGeom prst="rect">
                      <a:avLst/>
                    </a:prstGeom>
                  </pic:spPr>
                </pic:pic>
              </a:graphicData>
            </a:graphic>
          </wp:inline>
        </w:drawing>
      </w:r>
    </w:p>
    <w:p w14:paraId="05CC4CB4" w14:textId="731341DB" w:rsidR="009526D9" w:rsidRPr="002C3306" w:rsidRDefault="009526D9" w:rsidP="006968A3">
      <w:pPr>
        <w:jc w:val="center"/>
        <w:rPr>
          <w:rFonts w:ascii="Microsoft YaHei UI" w:eastAsia="Microsoft YaHei UI" w:hAnsi="Microsoft YaHei UI"/>
          <w:b/>
          <w:bCs/>
          <w:sz w:val="32"/>
          <w:szCs w:val="32"/>
        </w:rPr>
      </w:pPr>
      <w:r w:rsidRPr="002C3306">
        <w:rPr>
          <w:rFonts w:ascii="Microsoft YaHei UI" w:eastAsia="Microsoft YaHei UI" w:hAnsi="Microsoft YaHei UI" w:hint="eastAsia"/>
          <w:b/>
          <w:bCs/>
          <w:sz w:val="32"/>
          <w:szCs w:val="32"/>
        </w:rPr>
        <w:t>2026</w:t>
      </w:r>
      <w:r w:rsidR="006968A3" w:rsidRPr="002C3306">
        <w:rPr>
          <w:rFonts w:ascii="Microsoft YaHei UI" w:eastAsia="Microsoft YaHei UI" w:hAnsi="Microsoft YaHei UI" w:hint="eastAsia"/>
          <w:b/>
          <w:bCs/>
          <w:sz w:val="32"/>
          <w:szCs w:val="32"/>
        </w:rPr>
        <w:t xml:space="preserve"> - 0</w:t>
      </w:r>
      <w:r w:rsidR="00CF45F7">
        <w:rPr>
          <w:rFonts w:ascii="Microsoft YaHei UI" w:eastAsia="Microsoft YaHei UI" w:hAnsi="Microsoft YaHei UI" w:hint="eastAsia"/>
          <w:b/>
          <w:bCs/>
          <w:sz w:val="32"/>
          <w:szCs w:val="32"/>
        </w:rPr>
        <w:t>4</w:t>
      </w:r>
      <w:r w:rsidRPr="002C3306">
        <w:rPr>
          <w:rFonts w:ascii="Microsoft YaHei UI" w:eastAsia="Microsoft YaHei UI" w:hAnsi="Microsoft YaHei UI"/>
          <w:b/>
          <w:bCs/>
          <w:sz w:val="32"/>
          <w:szCs w:val="32"/>
        </w:rPr>
        <w:br w:type="page"/>
      </w:r>
    </w:p>
    <w:p w14:paraId="65CA0442" w14:textId="77777777" w:rsidR="009526D9" w:rsidRPr="002C3306" w:rsidRDefault="009526D9" w:rsidP="00284E18">
      <w:pPr>
        <w:spacing w:before="103" w:line="194" w:lineRule="auto"/>
        <w:jc w:val="center"/>
        <w:outlineLvl w:val="0"/>
        <w:rPr>
          <w:rFonts w:ascii="Microsoft YaHei UI" w:eastAsia="Microsoft YaHei UI" w:hAnsi="Microsoft YaHei UI" w:cs="Microsoft YaHei"/>
          <w:b/>
          <w:bCs/>
          <w:spacing w:val="-2"/>
        </w:rPr>
        <w:sectPr w:rsidR="009526D9" w:rsidRPr="002C3306" w:rsidSect="009526D9">
          <w:pgSz w:w="11906" w:h="16838"/>
          <w:pgMar w:top="1440" w:right="1800" w:bottom="1440" w:left="1800" w:header="851" w:footer="992" w:gutter="0"/>
          <w:cols w:space="425"/>
          <w:docGrid w:type="lines" w:linePitch="326"/>
        </w:sectPr>
      </w:pPr>
    </w:p>
    <w:p w14:paraId="4B4E64AE" w14:textId="53E889FE" w:rsidR="00284E18" w:rsidRPr="00F66CCF" w:rsidRDefault="00D62A9A" w:rsidP="006D0995">
      <w:pPr>
        <w:spacing w:before="103" w:line="194" w:lineRule="auto"/>
        <w:jc w:val="center"/>
        <w:outlineLvl w:val="0"/>
        <w:rPr>
          <w:rFonts w:ascii="Microsoft YaHei UI" w:eastAsia="Microsoft YaHei UI" w:hAnsi="Microsoft YaHei UI" w:cs="Microsoft YaHei"/>
          <w:b/>
          <w:bCs/>
          <w:spacing w:val="-2"/>
          <w:sz w:val="32"/>
          <w:szCs w:val="32"/>
        </w:rPr>
      </w:pPr>
      <w:r w:rsidRPr="00F66CCF">
        <w:rPr>
          <w:rFonts w:ascii="Microsoft YaHei UI" w:eastAsia="Microsoft YaHei UI" w:hAnsi="Microsoft YaHei UI" w:cs="Microsoft YaHei"/>
          <w:b/>
          <w:bCs/>
          <w:spacing w:val="-2"/>
          <w:sz w:val="32"/>
          <w:szCs w:val="32"/>
        </w:rPr>
        <w:lastRenderedPageBreak/>
        <w:t>汽车行业</w:t>
      </w:r>
      <w:r w:rsidR="0098372E" w:rsidRPr="00F66CCF">
        <w:rPr>
          <w:rFonts w:ascii="Microsoft YaHei UI" w:eastAsia="Microsoft YaHei UI" w:hAnsi="Microsoft YaHei UI" w:cs="Microsoft YaHei" w:hint="eastAsia"/>
          <w:b/>
          <w:bCs/>
          <w:spacing w:val="-2"/>
          <w:sz w:val="32"/>
          <w:szCs w:val="32"/>
        </w:rPr>
        <w:t>企业气候行动</w:t>
      </w:r>
      <w:r w:rsidRPr="00F66CCF">
        <w:rPr>
          <w:rFonts w:ascii="Microsoft YaHei UI" w:eastAsia="Microsoft YaHei UI" w:hAnsi="Microsoft YaHei UI" w:cs="Microsoft YaHei"/>
          <w:b/>
          <w:bCs/>
          <w:spacing w:val="-2"/>
          <w:sz w:val="32"/>
          <w:szCs w:val="32"/>
        </w:rPr>
        <w:t>CATI指数</w:t>
      </w:r>
      <w:r w:rsidR="00C5204A" w:rsidRPr="00F66CCF">
        <w:rPr>
          <w:rFonts w:ascii="Microsoft YaHei UI" w:eastAsia="Microsoft YaHei UI" w:hAnsi="Microsoft YaHei UI" w:cs="Microsoft YaHei" w:hint="eastAsia"/>
          <w:b/>
          <w:bCs/>
          <w:spacing w:val="-2"/>
          <w:sz w:val="32"/>
          <w:szCs w:val="32"/>
        </w:rPr>
        <w:t>3</w:t>
      </w:r>
      <w:r w:rsidR="001F51B9" w:rsidRPr="00F66CCF">
        <w:rPr>
          <w:rFonts w:ascii="Microsoft YaHei UI" w:eastAsia="Microsoft YaHei UI" w:hAnsi="Microsoft YaHei UI" w:cs="Microsoft YaHei" w:hint="eastAsia"/>
          <w:b/>
          <w:bCs/>
          <w:spacing w:val="-2"/>
          <w:sz w:val="32"/>
          <w:szCs w:val="32"/>
        </w:rPr>
        <w:t>.0</w:t>
      </w:r>
    </w:p>
    <w:tbl>
      <w:tblPr>
        <w:tblStyle w:val="TableGrid"/>
        <w:tblW w:w="0" w:type="auto"/>
        <w:tblLook w:val="04A0" w:firstRow="1" w:lastRow="0" w:firstColumn="1" w:lastColumn="0" w:noHBand="0" w:noVBand="1"/>
      </w:tblPr>
      <w:tblGrid>
        <w:gridCol w:w="1945"/>
        <w:gridCol w:w="2019"/>
        <w:gridCol w:w="9072"/>
        <w:gridCol w:w="912"/>
      </w:tblGrid>
      <w:tr w:rsidR="00284E18" w:rsidRPr="007D7D72" w14:paraId="6A0BF378" w14:textId="77777777" w:rsidTr="00284E18">
        <w:trPr>
          <w:trHeight w:val="20"/>
        </w:trPr>
        <w:tc>
          <w:tcPr>
            <w:tcW w:w="0" w:type="auto"/>
            <w:vAlign w:val="center"/>
            <w:hideMark/>
          </w:tcPr>
          <w:p w14:paraId="30C8F378" w14:textId="77777777" w:rsidR="00284E18" w:rsidRPr="007D7D72" w:rsidRDefault="00284E18" w:rsidP="00284E18">
            <w:pPr>
              <w:jc w:val="center"/>
              <w:rPr>
                <w:rFonts w:ascii="Microsoft YaHei UI" w:eastAsia="Microsoft YaHei UI" w:hAnsi="Microsoft YaHei UI" w:cs="Calibri"/>
                <w:b/>
                <w:bCs/>
                <w:color w:val="000000" w:themeColor="text1"/>
                <w:sz w:val="20"/>
                <w:szCs w:val="20"/>
              </w:rPr>
            </w:pPr>
            <w:r w:rsidRPr="007D7D72">
              <w:rPr>
                <w:rFonts w:ascii="Microsoft YaHei UI" w:eastAsia="Microsoft YaHei UI" w:hAnsi="Microsoft YaHei UI" w:cs="Calibri" w:hint="eastAsia"/>
                <w:b/>
                <w:bCs/>
                <w:color w:val="000000" w:themeColor="text1"/>
                <w:sz w:val="20"/>
                <w:szCs w:val="20"/>
              </w:rPr>
              <w:t>一级指标</w:t>
            </w:r>
          </w:p>
        </w:tc>
        <w:tc>
          <w:tcPr>
            <w:tcW w:w="2019" w:type="dxa"/>
            <w:vAlign w:val="center"/>
            <w:hideMark/>
          </w:tcPr>
          <w:p w14:paraId="28310279" w14:textId="77777777" w:rsidR="00284E18" w:rsidRPr="007D7D72" w:rsidRDefault="00284E18" w:rsidP="00284E18">
            <w:pPr>
              <w:jc w:val="center"/>
              <w:rPr>
                <w:rFonts w:ascii="Microsoft YaHei UI" w:eastAsia="Microsoft YaHei UI" w:hAnsi="Microsoft YaHei UI" w:cs="Calibri"/>
                <w:b/>
                <w:bCs/>
                <w:color w:val="000000" w:themeColor="text1"/>
                <w:sz w:val="20"/>
                <w:szCs w:val="20"/>
              </w:rPr>
            </w:pPr>
            <w:r w:rsidRPr="007D7D72">
              <w:rPr>
                <w:rFonts w:ascii="Microsoft YaHei UI" w:eastAsia="Microsoft YaHei UI" w:hAnsi="Microsoft YaHei UI" w:cs="Calibri" w:hint="eastAsia"/>
                <w:b/>
                <w:bCs/>
                <w:color w:val="000000" w:themeColor="text1"/>
                <w:sz w:val="20"/>
                <w:szCs w:val="20"/>
              </w:rPr>
              <w:t>二级指标</w:t>
            </w:r>
          </w:p>
        </w:tc>
        <w:tc>
          <w:tcPr>
            <w:tcW w:w="9072" w:type="dxa"/>
            <w:vAlign w:val="center"/>
            <w:hideMark/>
          </w:tcPr>
          <w:p w14:paraId="7B389CCE" w14:textId="77777777" w:rsidR="00284E18" w:rsidRPr="007D7D72" w:rsidRDefault="00284E18" w:rsidP="00284E18">
            <w:pPr>
              <w:jc w:val="center"/>
              <w:rPr>
                <w:rFonts w:ascii="Microsoft YaHei UI" w:eastAsia="Microsoft YaHei UI" w:hAnsi="Microsoft YaHei UI" w:cs="Calibri"/>
                <w:b/>
                <w:bCs/>
                <w:color w:val="000000" w:themeColor="text1"/>
                <w:sz w:val="20"/>
                <w:szCs w:val="20"/>
              </w:rPr>
            </w:pPr>
            <w:r w:rsidRPr="007D7D72">
              <w:rPr>
                <w:rFonts w:ascii="Microsoft YaHei UI" w:eastAsia="Microsoft YaHei UI" w:hAnsi="Microsoft YaHei UI" w:cs="Calibri" w:hint="eastAsia"/>
                <w:b/>
                <w:bCs/>
                <w:color w:val="000000" w:themeColor="text1"/>
                <w:sz w:val="20"/>
                <w:szCs w:val="20"/>
              </w:rPr>
              <w:t>三级指标</w:t>
            </w:r>
          </w:p>
        </w:tc>
        <w:tc>
          <w:tcPr>
            <w:tcW w:w="912" w:type="dxa"/>
            <w:vAlign w:val="center"/>
            <w:hideMark/>
          </w:tcPr>
          <w:p w14:paraId="45E47FE9" w14:textId="712A682E" w:rsidR="00284E18" w:rsidRPr="007D7D72" w:rsidRDefault="00284E18" w:rsidP="00284E18">
            <w:pPr>
              <w:jc w:val="center"/>
              <w:rPr>
                <w:rFonts w:ascii="Microsoft YaHei UI" w:eastAsia="Microsoft YaHei UI" w:hAnsi="Microsoft YaHei UI" w:cs="Calibri"/>
                <w:b/>
                <w:bCs/>
                <w:color w:val="000000" w:themeColor="text1"/>
                <w:sz w:val="20"/>
                <w:szCs w:val="20"/>
              </w:rPr>
            </w:pPr>
            <w:r w:rsidRPr="007D7D72">
              <w:rPr>
                <w:rFonts w:ascii="Microsoft YaHei UI" w:eastAsia="Microsoft YaHei UI" w:hAnsi="Microsoft YaHei UI" w:cs="Calibri" w:hint="eastAsia"/>
                <w:b/>
                <w:bCs/>
                <w:color w:val="000000" w:themeColor="text1"/>
                <w:sz w:val="20"/>
                <w:szCs w:val="20"/>
              </w:rPr>
              <w:t>分值</w:t>
            </w:r>
          </w:p>
        </w:tc>
      </w:tr>
      <w:tr w:rsidR="00284E18" w:rsidRPr="0000793C" w14:paraId="5A9223D5" w14:textId="77777777" w:rsidTr="00284E18">
        <w:trPr>
          <w:trHeight w:val="20"/>
        </w:trPr>
        <w:tc>
          <w:tcPr>
            <w:tcW w:w="0" w:type="auto"/>
            <w:vMerge w:val="restart"/>
            <w:vAlign w:val="center"/>
            <w:hideMark/>
          </w:tcPr>
          <w:p w14:paraId="67883D06" w14:textId="22CAAB6C"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 治理机制（10%）</w:t>
            </w:r>
          </w:p>
        </w:tc>
        <w:tc>
          <w:tcPr>
            <w:tcW w:w="2019" w:type="dxa"/>
            <w:vMerge w:val="restart"/>
            <w:vAlign w:val="center"/>
            <w:hideMark/>
          </w:tcPr>
          <w:p w14:paraId="709A07BD" w14:textId="7CAA9E01"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1.1 制度建设（5%）</w:t>
            </w:r>
          </w:p>
        </w:tc>
        <w:tc>
          <w:tcPr>
            <w:tcW w:w="9072" w:type="dxa"/>
            <w:vAlign w:val="center"/>
            <w:hideMark/>
          </w:tcPr>
          <w:p w14:paraId="6027C177"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1.1.1 已做出推动汽车产业链低碳转型的承诺</w:t>
            </w:r>
          </w:p>
        </w:tc>
        <w:tc>
          <w:tcPr>
            <w:tcW w:w="912" w:type="dxa"/>
            <w:vAlign w:val="center"/>
            <w:hideMark/>
          </w:tcPr>
          <w:p w14:paraId="7035C9F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6C7EFC12" w14:textId="77777777" w:rsidTr="00284E18">
        <w:trPr>
          <w:trHeight w:val="20"/>
        </w:trPr>
        <w:tc>
          <w:tcPr>
            <w:tcW w:w="0" w:type="auto"/>
            <w:vMerge/>
            <w:vAlign w:val="center"/>
            <w:hideMark/>
          </w:tcPr>
          <w:p w14:paraId="33757C1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3D258246"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6303990F"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1.1.2 已做出停售燃油车的转型承诺</w:t>
            </w:r>
          </w:p>
        </w:tc>
        <w:tc>
          <w:tcPr>
            <w:tcW w:w="912" w:type="dxa"/>
            <w:vAlign w:val="center"/>
            <w:hideMark/>
          </w:tcPr>
          <w:p w14:paraId="1C13C84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4B021500" w14:textId="77777777" w:rsidTr="00284E18">
        <w:trPr>
          <w:trHeight w:val="20"/>
        </w:trPr>
        <w:tc>
          <w:tcPr>
            <w:tcW w:w="0" w:type="auto"/>
            <w:vMerge/>
            <w:vAlign w:val="center"/>
            <w:hideMark/>
          </w:tcPr>
          <w:p w14:paraId="5D9C8F0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5A28296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51C94C27"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1.1.3 制定企业碳中和配套管理制度</w:t>
            </w:r>
          </w:p>
        </w:tc>
        <w:tc>
          <w:tcPr>
            <w:tcW w:w="912" w:type="dxa"/>
            <w:vAlign w:val="center"/>
            <w:hideMark/>
          </w:tcPr>
          <w:p w14:paraId="327B580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453D9FD3" w14:textId="77777777" w:rsidTr="00284E18">
        <w:trPr>
          <w:trHeight w:val="20"/>
        </w:trPr>
        <w:tc>
          <w:tcPr>
            <w:tcW w:w="0" w:type="auto"/>
            <w:vMerge/>
            <w:vAlign w:val="center"/>
            <w:hideMark/>
          </w:tcPr>
          <w:p w14:paraId="7795B3C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451F4CC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5CD287C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1.1.4 将要求供应商节能减排、温室气体核算与报送纳入供应商行为准则等书面文件</w:t>
            </w:r>
          </w:p>
        </w:tc>
        <w:tc>
          <w:tcPr>
            <w:tcW w:w="912" w:type="dxa"/>
            <w:vAlign w:val="center"/>
            <w:hideMark/>
          </w:tcPr>
          <w:p w14:paraId="13AFAA5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62953027" w14:textId="77777777" w:rsidTr="00284E18">
        <w:trPr>
          <w:trHeight w:val="20"/>
        </w:trPr>
        <w:tc>
          <w:tcPr>
            <w:tcW w:w="0" w:type="auto"/>
            <w:vMerge/>
            <w:vAlign w:val="center"/>
            <w:hideMark/>
          </w:tcPr>
          <w:p w14:paraId="2854B54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restart"/>
            <w:vAlign w:val="center"/>
            <w:hideMark/>
          </w:tcPr>
          <w:p w14:paraId="54BACC97" w14:textId="387C94CF"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1.2 机制建设（5%）</w:t>
            </w:r>
          </w:p>
        </w:tc>
        <w:tc>
          <w:tcPr>
            <w:tcW w:w="9072" w:type="dxa"/>
            <w:vAlign w:val="center"/>
            <w:hideMark/>
          </w:tcPr>
          <w:p w14:paraId="1D47A35C"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1.2.1将气候变化纳入商业决策并具有针对气候相关风险管理程序</w:t>
            </w:r>
          </w:p>
        </w:tc>
        <w:tc>
          <w:tcPr>
            <w:tcW w:w="912" w:type="dxa"/>
            <w:vAlign w:val="center"/>
            <w:hideMark/>
          </w:tcPr>
          <w:p w14:paraId="6052C67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7708F6C5" w14:textId="77777777" w:rsidTr="00284E18">
        <w:trPr>
          <w:trHeight w:val="20"/>
        </w:trPr>
        <w:tc>
          <w:tcPr>
            <w:tcW w:w="0" w:type="auto"/>
            <w:vMerge/>
            <w:vAlign w:val="center"/>
            <w:hideMark/>
          </w:tcPr>
          <w:p w14:paraId="10652F5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14D6216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75CB5AFB"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1.2.2 将气候相关议题纳入企业管理层的监控、管理和监督职责</w:t>
            </w:r>
          </w:p>
        </w:tc>
        <w:tc>
          <w:tcPr>
            <w:tcW w:w="912" w:type="dxa"/>
            <w:vAlign w:val="center"/>
            <w:hideMark/>
          </w:tcPr>
          <w:p w14:paraId="156E39B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65DA803C" w14:textId="77777777" w:rsidTr="00284E18">
        <w:trPr>
          <w:trHeight w:val="20"/>
        </w:trPr>
        <w:tc>
          <w:tcPr>
            <w:tcW w:w="0" w:type="auto"/>
            <w:vMerge/>
            <w:vAlign w:val="center"/>
            <w:hideMark/>
          </w:tcPr>
          <w:p w14:paraId="466C6E3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48CC95E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6BA0D1E1"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1.2.3 通过赋能、开展创新项目、财务激励等机制引导供应商减排</w:t>
            </w:r>
          </w:p>
        </w:tc>
        <w:tc>
          <w:tcPr>
            <w:tcW w:w="912" w:type="dxa"/>
            <w:vAlign w:val="center"/>
            <w:hideMark/>
          </w:tcPr>
          <w:p w14:paraId="13A09FB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68BEF5A2" w14:textId="77777777" w:rsidTr="00284E18">
        <w:trPr>
          <w:trHeight w:val="20"/>
        </w:trPr>
        <w:tc>
          <w:tcPr>
            <w:tcW w:w="0" w:type="auto"/>
            <w:vMerge w:val="restart"/>
            <w:vAlign w:val="center"/>
            <w:hideMark/>
          </w:tcPr>
          <w:p w14:paraId="764CE69E" w14:textId="541F14BE"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 测算披露（22%）</w:t>
            </w:r>
          </w:p>
        </w:tc>
        <w:tc>
          <w:tcPr>
            <w:tcW w:w="2019" w:type="dxa"/>
            <w:vMerge w:val="restart"/>
            <w:vAlign w:val="center"/>
            <w:hideMark/>
          </w:tcPr>
          <w:p w14:paraId="7F383800" w14:textId="1E659A33"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2.1 范围1&amp;2排放（10%）</w:t>
            </w:r>
          </w:p>
        </w:tc>
        <w:tc>
          <w:tcPr>
            <w:tcW w:w="9072" w:type="dxa"/>
            <w:vAlign w:val="center"/>
            <w:hideMark/>
          </w:tcPr>
          <w:p w14:paraId="2AC95AE7"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2.1.1 测算并披露范围1&amp;2排放量</w:t>
            </w:r>
          </w:p>
        </w:tc>
        <w:tc>
          <w:tcPr>
            <w:tcW w:w="912" w:type="dxa"/>
            <w:vAlign w:val="center"/>
            <w:hideMark/>
          </w:tcPr>
          <w:p w14:paraId="09B10FF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w:t>
            </w:r>
          </w:p>
        </w:tc>
      </w:tr>
      <w:tr w:rsidR="00284E18" w:rsidRPr="0000793C" w14:paraId="77163FE0" w14:textId="77777777" w:rsidTr="00284E18">
        <w:trPr>
          <w:trHeight w:val="20"/>
        </w:trPr>
        <w:tc>
          <w:tcPr>
            <w:tcW w:w="0" w:type="auto"/>
            <w:vMerge/>
            <w:vAlign w:val="center"/>
            <w:hideMark/>
          </w:tcPr>
          <w:p w14:paraId="00E245C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039CD6A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32E30D2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2.1.2 测算并披露综合能耗和能源使用情况</w:t>
            </w:r>
          </w:p>
        </w:tc>
        <w:tc>
          <w:tcPr>
            <w:tcW w:w="912" w:type="dxa"/>
            <w:vAlign w:val="center"/>
            <w:hideMark/>
          </w:tcPr>
          <w:p w14:paraId="4B7C394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w:t>
            </w:r>
          </w:p>
        </w:tc>
      </w:tr>
      <w:tr w:rsidR="00284E18" w:rsidRPr="0000793C" w14:paraId="6031420E" w14:textId="77777777" w:rsidTr="00284E18">
        <w:trPr>
          <w:trHeight w:val="20"/>
        </w:trPr>
        <w:tc>
          <w:tcPr>
            <w:tcW w:w="0" w:type="auto"/>
            <w:vMerge/>
            <w:vAlign w:val="center"/>
            <w:hideMark/>
          </w:tcPr>
          <w:p w14:paraId="0683990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0192740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6A7A7CF2"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2.1.3 测算并披露碳强度或能源强度</w:t>
            </w:r>
          </w:p>
        </w:tc>
        <w:tc>
          <w:tcPr>
            <w:tcW w:w="912" w:type="dxa"/>
            <w:vAlign w:val="center"/>
            <w:hideMark/>
          </w:tcPr>
          <w:p w14:paraId="78183D8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3E85E8ED" w14:textId="77777777" w:rsidTr="00284E18">
        <w:trPr>
          <w:trHeight w:val="20"/>
        </w:trPr>
        <w:tc>
          <w:tcPr>
            <w:tcW w:w="0" w:type="auto"/>
            <w:vMerge/>
            <w:vAlign w:val="center"/>
            <w:hideMark/>
          </w:tcPr>
          <w:p w14:paraId="1DF4D1D6"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restart"/>
            <w:vAlign w:val="center"/>
            <w:hideMark/>
          </w:tcPr>
          <w:p w14:paraId="5422B30B" w14:textId="3AD95791"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2.2 范围3排放（6%）</w:t>
            </w:r>
          </w:p>
        </w:tc>
        <w:tc>
          <w:tcPr>
            <w:tcW w:w="9072" w:type="dxa"/>
            <w:vAlign w:val="center"/>
            <w:hideMark/>
          </w:tcPr>
          <w:p w14:paraId="523B7E98"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2.2.1 测算并披露范围3排放量</w:t>
            </w:r>
          </w:p>
        </w:tc>
        <w:tc>
          <w:tcPr>
            <w:tcW w:w="912" w:type="dxa"/>
            <w:vAlign w:val="center"/>
            <w:hideMark/>
          </w:tcPr>
          <w:p w14:paraId="4F745FA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w:t>
            </w:r>
          </w:p>
        </w:tc>
      </w:tr>
      <w:tr w:rsidR="00284E18" w:rsidRPr="0000793C" w14:paraId="4D70E287" w14:textId="77777777" w:rsidTr="00284E18">
        <w:trPr>
          <w:trHeight w:val="20"/>
        </w:trPr>
        <w:tc>
          <w:tcPr>
            <w:tcW w:w="0" w:type="auto"/>
            <w:vMerge/>
            <w:vAlign w:val="center"/>
            <w:hideMark/>
          </w:tcPr>
          <w:p w14:paraId="3245977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32D0F2D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1500316B"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2.2.2 测算并披露钢铁、铝等原材料相关的排放量或占比</w:t>
            </w:r>
          </w:p>
        </w:tc>
        <w:tc>
          <w:tcPr>
            <w:tcW w:w="912" w:type="dxa"/>
            <w:vAlign w:val="center"/>
            <w:hideMark/>
          </w:tcPr>
          <w:p w14:paraId="4374822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1A7CFE56" w14:textId="77777777" w:rsidTr="00284E18">
        <w:trPr>
          <w:trHeight w:val="20"/>
        </w:trPr>
        <w:tc>
          <w:tcPr>
            <w:tcW w:w="0" w:type="auto"/>
            <w:vMerge/>
            <w:vAlign w:val="center"/>
            <w:hideMark/>
          </w:tcPr>
          <w:p w14:paraId="31BA634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567E5ED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490A7BEF"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2.2.3 定期收集供应商实测排放数据</w:t>
            </w:r>
          </w:p>
        </w:tc>
        <w:tc>
          <w:tcPr>
            <w:tcW w:w="912" w:type="dxa"/>
            <w:vAlign w:val="center"/>
            <w:hideMark/>
          </w:tcPr>
          <w:p w14:paraId="3241616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3FBA39C2" w14:textId="77777777" w:rsidTr="00284E18">
        <w:trPr>
          <w:trHeight w:val="20"/>
        </w:trPr>
        <w:tc>
          <w:tcPr>
            <w:tcW w:w="0" w:type="auto"/>
            <w:vMerge/>
            <w:vAlign w:val="center"/>
            <w:hideMark/>
          </w:tcPr>
          <w:p w14:paraId="2081101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Align w:val="center"/>
            <w:hideMark/>
          </w:tcPr>
          <w:p w14:paraId="125310CF" w14:textId="3F0122A1"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2.3 产品碳足迹（6%）</w:t>
            </w:r>
          </w:p>
        </w:tc>
        <w:tc>
          <w:tcPr>
            <w:tcW w:w="9072" w:type="dxa"/>
            <w:vAlign w:val="center"/>
            <w:hideMark/>
          </w:tcPr>
          <w:p w14:paraId="17B88F7F"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2.3.1 测算并披露产品碳足迹数据</w:t>
            </w:r>
          </w:p>
        </w:tc>
        <w:tc>
          <w:tcPr>
            <w:tcW w:w="912" w:type="dxa"/>
            <w:vAlign w:val="center"/>
            <w:hideMark/>
          </w:tcPr>
          <w:p w14:paraId="1E65BAC1"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6</w:t>
            </w:r>
          </w:p>
        </w:tc>
      </w:tr>
      <w:tr w:rsidR="00284E18" w:rsidRPr="0000793C" w14:paraId="78533E99" w14:textId="77777777" w:rsidTr="00284E18">
        <w:trPr>
          <w:trHeight w:val="20"/>
        </w:trPr>
        <w:tc>
          <w:tcPr>
            <w:tcW w:w="0" w:type="auto"/>
            <w:vMerge w:val="restart"/>
            <w:vAlign w:val="center"/>
            <w:hideMark/>
          </w:tcPr>
          <w:p w14:paraId="6646916E" w14:textId="476B93F1"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 碳目标设定（16%）</w:t>
            </w:r>
          </w:p>
        </w:tc>
        <w:tc>
          <w:tcPr>
            <w:tcW w:w="2019" w:type="dxa"/>
            <w:vMerge w:val="restart"/>
            <w:vAlign w:val="center"/>
            <w:hideMark/>
          </w:tcPr>
          <w:p w14:paraId="3C460D84" w14:textId="299A42DF"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3.1 范围1&amp;2目标（7%）</w:t>
            </w:r>
          </w:p>
        </w:tc>
        <w:tc>
          <w:tcPr>
            <w:tcW w:w="9072" w:type="dxa"/>
            <w:vAlign w:val="center"/>
            <w:hideMark/>
          </w:tcPr>
          <w:p w14:paraId="668151A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3.1.1 设定并披露正在执行的范围1&amp;2减排目标或节能目标</w:t>
            </w:r>
          </w:p>
        </w:tc>
        <w:tc>
          <w:tcPr>
            <w:tcW w:w="912" w:type="dxa"/>
            <w:vAlign w:val="center"/>
            <w:hideMark/>
          </w:tcPr>
          <w:p w14:paraId="0A263F3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w:t>
            </w:r>
          </w:p>
        </w:tc>
      </w:tr>
      <w:tr w:rsidR="00284E18" w:rsidRPr="0000793C" w14:paraId="6F8B3739" w14:textId="77777777" w:rsidTr="00284E18">
        <w:trPr>
          <w:trHeight w:val="20"/>
        </w:trPr>
        <w:tc>
          <w:tcPr>
            <w:tcW w:w="0" w:type="auto"/>
            <w:vMerge/>
            <w:vAlign w:val="center"/>
            <w:hideMark/>
          </w:tcPr>
          <w:p w14:paraId="2C9560D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79B0786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0208345B"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3.1.2 设定并披露范围1&amp;2碳中和目标</w:t>
            </w:r>
          </w:p>
        </w:tc>
        <w:tc>
          <w:tcPr>
            <w:tcW w:w="912" w:type="dxa"/>
            <w:vAlign w:val="center"/>
            <w:hideMark/>
          </w:tcPr>
          <w:p w14:paraId="0FCD433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68DD6B94" w14:textId="77777777" w:rsidTr="00284E18">
        <w:trPr>
          <w:trHeight w:val="20"/>
        </w:trPr>
        <w:tc>
          <w:tcPr>
            <w:tcW w:w="0" w:type="auto"/>
            <w:vMerge/>
            <w:vAlign w:val="center"/>
            <w:hideMark/>
          </w:tcPr>
          <w:p w14:paraId="134DB9C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27DC381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4660CAC8"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3.1.3 设定并披露可再生能源目标</w:t>
            </w:r>
          </w:p>
        </w:tc>
        <w:tc>
          <w:tcPr>
            <w:tcW w:w="912" w:type="dxa"/>
            <w:vAlign w:val="center"/>
            <w:hideMark/>
          </w:tcPr>
          <w:p w14:paraId="0A50413D"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583BB525" w14:textId="77777777" w:rsidTr="00284E18">
        <w:trPr>
          <w:trHeight w:val="20"/>
        </w:trPr>
        <w:tc>
          <w:tcPr>
            <w:tcW w:w="0" w:type="auto"/>
            <w:vMerge/>
            <w:vAlign w:val="center"/>
            <w:hideMark/>
          </w:tcPr>
          <w:p w14:paraId="0612D901"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1C1BBC8E"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6F1D481C"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3.1.4 范围1&amp;2气候目标经专业机构认证或批准（如，经科学碳目标组织或其他倡议批准）</w:t>
            </w:r>
          </w:p>
        </w:tc>
        <w:tc>
          <w:tcPr>
            <w:tcW w:w="912" w:type="dxa"/>
            <w:vAlign w:val="center"/>
            <w:hideMark/>
          </w:tcPr>
          <w:p w14:paraId="516440A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332066A5" w14:textId="77777777" w:rsidTr="00284E18">
        <w:trPr>
          <w:trHeight w:val="20"/>
        </w:trPr>
        <w:tc>
          <w:tcPr>
            <w:tcW w:w="0" w:type="auto"/>
            <w:vMerge/>
            <w:vAlign w:val="center"/>
            <w:hideMark/>
          </w:tcPr>
          <w:p w14:paraId="61A081C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restart"/>
            <w:vAlign w:val="center"/>
            <w:hideMark/>
          </w:tcPr>
          <w:p w14:paraId="659E89ED" w14:textId="1E042A53"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3.2 范围3目标（9%）</w:t>
            </w:r>
          </w:p>
        </w:tc>
        <w:tc>
          <w:tcPr>
            <w:tcW w:w="9072" w:type="dxa"/>
            <w:vAlign w:val="center"/>
            <w:hideMark/>
          </w:tcPr>
          <w:p w14:paraId="0E1E2783"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3.2.1 设定并披露正在执行的范围3减排目标</w:t>
            </w:r>
          </w:p>
        </w:tc>
        <w:tc>
          <w:tcPr>
            <w:tcW w:w="912" w:type="dxa"/>
            <w:vAlign w:val="center"/>
            <w:hideMark/>
          </w:tcPr>
          <w:p w14:paraId="35DE7AF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w:t>
            </w:r>
          </w:p>
        </w:tc>
      </w:tr>
      <w:tr w:rsidR="00284E18" w:rsidRPr="0000793C" w14:paraId="23F38A32" w14:textId="77777777" w:rsidTr="00284E18">
        <w:trPr>
          <w:trHeight w:val="20"/>
        </w:trPr>
        <w:tc>
          <w:tcPr>
            <w:tcW w:w="0" w:type="auto"/>
            <w:vMerge/>
            <w:vAlign w:val="center"/>
            <w:hideMark/>
          </w:tcPr>
          <w:p w14:paraId="7D0E86A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3150B625"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00687E7D"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3.2.2 设定并披露针对钢铁、铝、电池原材料减排目标或低碳采购目标</w:t>
            </w:r>
          </w:p>
        </w:tc>
        <w:tc>
          <w:tcPr>
            <w:tcW w:w="912" w:type="dxa"/>
            <w:vAlign w:val="center"/>
            <w:hideMark/>
          </w:tcPr>
          <w:p w14:paraId="43C93B1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242C26EE" w14:textId="77777777" w:rsidTr="00284E18">
        <w:trPr>
          <w:trHeight w:val="20"/>
        </w:trPr>
        <w:tc>
          <w:tcPr>
            <w:tcW w:w="0" w:type="auto"/>
            <w:vMerge/>
            <w:vAlign w:val="center"/>
            <w:hideMark/>
          </w:tcPr>
          <w:p w14:paraId="400C0D6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296B840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1CB50FA9"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3.2.3 设定并披露范围3碳中和目标</w:t>
            </w:r>
          </w:p>
        </w:tc>
        <w:tc>
          <w:tcPr>
            <w:tcW w:w="912" w:type="dxa"/>
            <w:vAlign w:val="center"/>
            <w:hideMark/>
          </w:tcPr>
          <w:p w14:paraId="6926775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5FB399C5" w14:textId="77777777" w:rsidTr="00284E18">
        <w:trPr>
          <w:trHeight w:val="20"/>
        </w:trPr>
        <w:tc>
          <w:tcPr>
            <w:tcW w:w="0" w:type="auto"/>
            <w:vMerge/>
            <w:vAlign w:val="center"/>
            <w:hideMark/>
          </w:tcPr>
          <w:p w14:paraId="700ACFAE"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69CE2E0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25C9EC3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3.2.4 设定并披露的目标涵盖：推动供应商设定气候目标</w:t>
            </w:r>
          </w:p>
        </w:tc>
        <w:tc>
          <w:tcPr>
            <w:tcW w:w="912" w:type="dxa"/>
            <w:vAlign w:val="center"/>
            <w:hideMark/>
          </w:tcPr>
          <w:p w14:paraId="4E77A9A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6718C0CB" w14:textId="77777777" w:rsidTr="00284E18">
        <w:trPr>
          <w:trHeight w:val="20"/>
        </w:trPr>
        <w:tc>
          <w:tcPr>
            <w:tcW w:w="0" w:type="auto"/>
            <w:vMerge/>
            <w:vAlign w:val="center"/>
            <w:hideMark/>
          </w:tcPr>
          <w:p w14:paraId="081F0651"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29420C8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65E8166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3.2.5 范围3气候目标经专业机构认证或批准（如，经科学碳目标组织或其他倡议批准）</w:t>
            </w:r>
          </w:p>
        </w:tc>
        <w:tc>
          <w:tcPr>
            <w:tcW w:w="912" w:type="dxa"/>
            <w:vAlign w:val="center"/>
            <w:hideMark/>
          </w:tcPr>
          <w:p w14:paraId="13B0221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77055114" w14:textId="77777777" w:rsidTr="00284E18">
        <w:trPr>
          <w:trHeight w:val="20"/>
        </w:trPr>
        <w:tc>
          <w:tcPr>
            <w:tcW w:w="0" w:type="auto"/>
            <w:vMerge w:val="restart"/>
            <w:vAlign w:val="center"/>
            <w:hideMark/>
          </w:tcPr>
          <w:p w14:paraId="3BA90FED" w14:textId="05175301"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 碳目标绩效（14%）</w:t>
            </w:r>
          </w:p>
        </w:tc>
        <w:tc>
          <w:tcPr>
            <w:tcW w:w="2019" w:type="dxa"/>
            <w:vMerge w:val="restart"/>
            <w:vAlign w:val="center"/>
            <w:hideMark/>
          </w:tcPr>
          <w:p w14:paraId="5FD4CB51" w14:textId="20D8664E"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4.1 范围1&amp;2目标绩效（6%）</w:t>
            </w:r>
          </w:p>
        </w:tc>
        <w:tc>
          <w:tcPr>
            <w:tcW w:w="9072" w:type="dxa"/>
            <w:vAlign w:val="center"/>
            <w:hideMark/>
          </w:tcPr>
          <w:p w14:paraId="0188C290"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4.1.1 披露范围1&amp;2减排目标或节能目标的完成进展</w:t>
            </w:r>
          </w:p>
        </w:tc>
        <w:tc>
          <w:tcPr>
            <w:tcW w:w="912" w:type="dxa"/>
            <w:vAlign w:val="center"/>
            <w:hideMark/>
          </w:tcPr>
          <w:p w14:paraId="769CC38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w:t>
            </w:r>
          </w:p>
        </w:tc>
      </w:tr>
      <w:tr w:rsidR="00284E18" w:rsidRPr="0000793C" w14:paraId="4CD2602F" w14:textId="77777777" w:rsidTr="00284E18">
        <w:trPr>
          <w:trHeight w:val="20"/>
        </w:trPr>
        <w:tc>
          <w:tcPr>
            <w:tcW w:w="0" w:type="auto"/>
            <w:vMerge/>
            <w:vAlign w:val="center"/>
            <w:hideMark/>
          </w:tcPr>
          <w:p w14:paraId="2204656D"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1DB3D58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17124D3E"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4.1.2 披露范围1&amp;2碳中和目标的完成进展</w:t>
            </w:r>
          </w:p>
        </w:tc>
        <w:tc>
          <w:tcPr>
            <w:tcW w:w="912" w:type="dxa"/>
            <w:vAlign w:val="center"/>
            <w:hideMark/>
          </w:tcPr>
          <w:p w14:paraId="342A10C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137E5C62" w14:textId="77777777" w:rsidTr="00284E18">
        <w:trPr>
          <w:trHeight w:val="20"/>
        </w:trPr>
        <w:tc>
          <w:tcPr>
            <w:tcW w:w="0" w:type="auto"/>
            <w:vMerge/>
            <w:vAlign w:val="center"/>
            <w:hideMark/>
          </w:tcPr>
          <w:p w14:paraId="3DC0C64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2782D45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61195CA1"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4.1.3 披露可再生能源目标的完成进展</w:t>
            </w:r>
          </w:p>
        </w:tc>
        <w:tc>
          <w:tcPr>
            <w:tcW w:w="912" w:type="dxa"/>
            <w:vAlign w:val="center"/>
            <w:hideMark/>
          </w:tcPr>
          <w:p w14:paraId="250387D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7D723561" w14:textId="77777777" w:rsidTr="00284E18">
        <w:trPr>
          <w:trHeight w:val="20"/>
        </w:trPr>
        <w:tc>
          <w:tcPr>
            <w:tcW w:w="0" w:type="auto"/>
            <w:vMerge/>
            <w:vAlign w:val="center"/>
            <w:hideMark/>
          </w:tcPr>
          <w:p w14:paraId="71AACDF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restart"/>
            <w:vAlign w:val="center"/>
            <w:hideMark/>
          </w:tcPr>
          <w:p w14:paraId="40ABE5E1" w14:textId="772ED191"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4.2 范围3目标绩效（8%）</w:t>
            </w:r>
          </w:p>
        </w:tc>
        <w:tc>
          <w:tcPr>
            <w:tcW w:w="9072" w:type="dxa"/>
            <w:vAlign w:val="center"/>
            <w:hideMark/>
          </w:tcPr>
          <w:p w14:paraId="1D9EB34B"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4.2.1 披露范围3减排目标的完成进展</w:t>
            </w:r>
          </w:p>
        </w:tc>
        <w:tc>
          <w:tcPr>
            <w:tcW w:w="912" w:type="dxa"/>
            <w:vAlign w:val="center"/>
            <w:hideMark/>
          </w:tcPr>
          <w:p w14:paraId="6C5113D1"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w:t>
            </w:r>
          </w:p>
        </w:tc>
      </w:tr>
      <w:tr w:rsidR="00284E18" w:rsidRPr="0000793C" w14:paraId="7D712AE0" w14:textId="77777777" w:rsidTr="00284E18">
        <w:trPr>
          <w:trHeight w:val="20"/>
        </w:trPr>
        <w:tc>
          <w:tcPr>
            <w:tcW w:w="0" w:type="auto"/>
            <w:vMerge/>
            <w:vAlign w:val="center"/>
            <w:hideMark/>
          </w:tcPr>
          <w:p w14:paraId="2176BF3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6391F63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719EC0DD"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4.2.2 披露针对钢铁、铝、电池原材料减排目标或低碳采购目标的完成进展</w:t>
            </w:r>
          </w:p>
        </w:tc>
        <w:tc>
          <w:tcPr>
            <w:tcW w:w="912" w:type="dxa"/>
            <w:vAlign w:val="center"/>
            <w:hideMark/>
          </w:tcPr>
          <w:p w14:paraId="7259E34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141A30B6" w14:textId="77777777" w:rsidTr="00284E18">
        <w:trPr>
          <w:trHeight w:val="20"/>
        </w:trPr>
        <w:tc>
          <w:tcPr>
            <w:tcW w:w="0" w:type="auto"/>
            <w:vMerge/>
            <w:vAlign w:val="center"/>
            <w:hideMark/>
          </w:tcPr>
          <w:p w14:paraId="7986DEF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462492D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0422AF68"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4.2.3 披露范围3碳中和目标的完成进展</w:t>
            </w:r>
          </w:p>
        </w:tc>
        <w:tc>
          <w:tcPr>
            <w:tcW w:w="912" w:type="dxa"/>
            <w:vAlign w:val="center"/>
            <w:hideMark/>
          </w:tcPr>
          <w:p w14:paraId="41AFE61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7ADD7EEC" w14:textId="77777777" w:rsidTr="00284E18">
        <w:trPr>
          <w:trHeight w:val="20"/>
        </w:trPr>
        <w:tc>
          <w:tcPr>
            <w:tcW w:w="0" w:type="auto"/>
            <w:vMerge/>
            <w:vAlign w:val="center"/>
            <w:hideMark/>
          </w:tcPr>
          <w:p w14:paraId="4BCB665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5523237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4013E3EB"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4.2.4 跟踪并披露供应商气候目标设定的进展</w:t>
            </w:r>
          </w:p>
        </w:tc>
        <w:tc>
          <w:tcPr>
            <w:tcW w:w="912" w:type="dxa"/>
            <w:vAlign w:val="center"/>
            <w:hideMark/>
          </w:tcPr>
          <w:p w14:paraId="561B92D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080C1BA9" w14:textId="77777777" w:rsidTr="00284E18">
        <w:trPr>
          <w:trHeight w:val="20"/>
        </w:trPr>
        <w:tc>
          <w:tcPr>
            <w:tcW w:w="0" w:type="auto"/>
            <w:vMerge w:val="restart"/>
            <w:vAlign w:val="center"/>
            <w:hideMark/>
          </w:tcPr>
          <w:p w14:paraId="1E5B19C0" w14:textId="6AD807A8"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 减排行动（38%）</w:t>
            </w:r>
          </w:p>
        </w:tc>
        <w:tc>
          <w:tcPr>
            <w:tcW w:w="2019" w:type="dxa"/>
            <w:vMerge w:val="restart"/>
            <w:vAlign w:val="center"/>
            <w:hideMark/>
          </w:tcPr>
          <w:p w14:paraId="27F79186" w14:textId="5A2AA075"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5.1 企业自身运营减排（13%）</w:t>
            </w:r>
          </w:p>
        </w:tc>
        <w:tc>
          <w:tcPr>
            <w:tcW w:w="9072" w:type="dxa"/>
            <w:vAlign w:val="center"/>
            <w:hideMark/>
          </w:tcPr>
          <w:p w14:paraId="5F96930D"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5.1.1 开展非化石能源利用或绿电采购项目，并披露项目减排量</w:t>
            </w:r>
          </w:p>
        </w:tc>
        <w:tc>
          <w:tcPr>
            <w:tcW w:w="912" w:type="dxa"/>
            <w:vAlign w:val="center"/>
            <w:hideMark/>
          </w:tcPr>
          <w:p w14:paraId="2E943D9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w:t>
            </w:r>
          </w:p>
        </w:tc>
      </w:tr>
      <w:tr w:rsidR="00284E18" w:rsidRPr="0000793C" w14:paraId="18DDB18C" w14:textId="77777777" w:rsidTr="00284E18">
        <w:trPr>
          <w:trHeight w:val="20"/>
        </w:trPr>
        <w:tc>
          <w:tcPr>
            <w:tcW w:w="0" w:type="auto"/>
            <w:vMerge/>
            <w:vAlign w:val="center"/>
            <w:hideMark/>
          </w:tcPr>
          <w:p w14:paraId="538DC64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00FCB896"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7A4212B4"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5.1.2 开展能源监测和管理项目</w:t>
            </w:r>
          </w:p>
        </w:tc>
        <w:tc>
          <w:tcPr>
            <w:tcW w:w="912" w:type="dxa"/>
            <w:vAlign w:val="center"/>
            <w:hideMark/>
          </w:tcPr>
          <w:p w14:paraId="53D476C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5B1F4745" w14:textId="77777777" w:rsidTr="00284E18">
        <w:trPr>
          <w:trHeight w:val="20"/>
        </w:trPr>
        <w:tc>
          <w:tcPr>
            <w:tcW w:w="0" w:type="auto"/>
            <w:vMerge/>
            <w:vAlign w:val="center"/>
            <w:hideMark/>
          </w:tcPr>
          <w:p w14:paraId="0BF1080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38CCAE0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1F3E48EC"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5.1.3 开展能效提升技术应用项目，并披露项目减排量</w:t>
            </w:r>
          </w:p>
        </w:tc>
        <w:tc>
          <w:tcPr>
            <w:tcW w:w="912" w:type="dxa"/>
            <w:vAlign w:val="center"/>
            <w:hideMark/>
          </w:tcPr>
          <w:p w14:paraId="3380468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w:t>
            </w:r>
          </w:p>
        </w:tc>
      </w:tr>
      <w:tr w:rsidR="00284E18" w:rsidRPr="0000793C" w14:paraId="3752F9E2" w14:textId="77777777" w:rsidTr="00284E18">
        <w:trPr>
          <w:trHeight w:val="20"/>
        </w:trPr>
        <w:tc>
          <w:tcPr>
            <w:tcW w:w="0" w:type="auto"/>
            <w:vMerge/>
            <w:vAlign w:val="center"/>
            <w:hideMark/>
          </w:tcPr>
          <w:p w14:paraId="59FDF6C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7EF24DBE"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309D7D77"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5.1.4 开展低碳产品设计，并披露低碳产品潜在减排量</w:t>
            </w:r>
          </w:p>
        </w:tc>
        <w:tc>
          <w:tcPr>
            <w:tcW w:w="912" w:type="dxa"/>
            <w:vAlign w:val="center"/>
            <w:hideMark/>
          </w:tcPr>
          <w:p w14:paraId="24E3196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4A5E84C9" w14:textId="77777777" w:rsidTr="00284E18">
        <w:trPr>
          <w:trHeight w:val="20"/>
        </w:trPr>
        <w:tc>
          <w:tcPr>
            <w:tcW w:w="0" w:type="auto"/>
            <w:vMerge/>
            <w:vAlign w:val="center"/>
            <w:hideMark/>
          </w:tcPr>
          <w:p w14:paraId="05492F0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639E679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4EF95809"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5.1.5 开展其他类型减排项目，并披露项目减排量</w:t>
            </w:r>
          </w:p>
        </w:tc>
        <w:tc>
          <w:tcPr>
            <w:tcW w:w="912" w:type="dxa"/>
            <w:vAlign w:val="center"/>
            <w:hideMark/>
          </w:tcPr>
          <w:p w14:paraId="4EB329F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6DADBBA9" w14:textId="77777777" w:rsidTr="00284E18">
        <w:trPr>
          <w:trHeight w:val="20"/>
        </w:trPr>
        <w:tc>
          <w:tcPr>
            <w:tcW w:w="0" w:type="auto"/>
            <w:vMerge/>
            <w:vAlign w:val="center"/>
            <w:hideMark/>
          </w:tcPr>
          <w:p w14:paraId="2718DD8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7FF6401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2506260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5.1.6 通过自愿碳市场机制抵消部分碳排放，并披露抵消量</w:t>
            </w:r>
          </w:p>
        </w:tc>
        <w:tc>
          <w:tcPr>
            <w:tcW w:w="912" w:type="dxa"/>
            <w:vAlign w:val="center"/>
            <w:hideMark/>
          </w:tcPr>
          <w:p w14:paraId="77ED825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2CAA2ED8" w14:textId="77777777" w:rsidTr="00284E18">
        <w:trPr>
          <w:trHeight w:val="20"/>
        </w:trPr>
        <w:tc>
          <w:tcPr>
            <w:tcW w:w="0" w:type="auto"/>
            <w:vMerge/>
            <w:vAlign w:val="center"/>
            <w:hideMark/>
          </w:tcPr>
          <w:p w14:paraId="3D0538D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restart"/>
            <w:vAlign w:val="center"/>
            <w:hideMark/>
          </w:tcPr>
          <w:p w14:paraId="0C630A25" w14:textId="305AA13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5.2 关联企业自主开展碳管理（6%）</w:t>
            </w:r>
          </w:p>
        </w:tc>
        <w:tc>
          <w:tcPr>
            <w:tcW w:w="9072" w:type="dxa"/>
            <w:vAlign w:val="center"/>
            <w:hideMark/>
          </w:tcPr>
          <w:p w14:paraId="4E88E61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5.2.1 整车厂、合资公司等关联企业自主核算并公开披露年度排放数据</w:t>
            </w:r>
          </w:p>
        </w:tc>
        <w:tc>
          <w:tcPr>
            <w:tcW w:w="912" w:type="dxa"/>
            <w:vAlign w:val="center"/>
            <w:hideMark/>
          </w:tcPr>
          <w:p w14:paraId="74EFC01E"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w:t>
            </w:r>
          </w:p>
        </w:tc>
      </w:tr>
      <w:tr w:rsidR="00284E18" w:rsidRPr="0000793C" w14:paraId="5C4CC160" w14:textId="77777777" w:rsidTr="00284E18">
        <w:trPr>
          <w:trHeight w:val="20"/>
        </w:trPr>
        <w:tc>
          <w:tcPr>
            <w:tcW w:w="0" w:type="auto"/>
            <w:vMerge/>
            <w:vAlign w:val="center"/>
            <w:hideMark/>
          </w:tcPr>
          <w:p w14:paraId="17D3D62F"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34CC880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258ACB1C"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5.2.2 整车厂、合资公司等关联企业自主设定并公开披露目标与进展，或得到零碳工厂认证</w:t>
            </w:r>
          </w:p>
        </w:tc>
        <w:tc>
          <w:tcPr>
            <w:tcW w:w="912" w:type="dxa"/>
            <w:vAlign w:val="center"/>
            <w:hideMark/>
          </w:tcPr>
          <w:p w14:paraId="589EB9D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3</w:t>
            </w:r>
          </w:p>
        </w:tc>
      </w:tr>
      <w:tr w:rsidR="00284E18" w:rsidRPr="0000793C" w14:paraId="1B46682C" w14:textId="77777777" w:rsidTr="00284E18">
        <w:trPr>
          <w:trHeight w:val="20"/>
        </w:trPr>
        <w:tc>
          <w:tcPr>
            <w:tcW w:w="0" w:type="auto"/>
            <w:vMerge/>
            <w:vAlign w:val="center"/>
            <w:hideMark/>
          </w:tcPr>
          <w:p w14:paraId="07A37045"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restart"/>
            <w:vAlign w:val="center"/>
            <w:hideMark/>
          </w:tcPr>
          <w:p w14:paraId="2416CC3A" w14:textId="1FE7865C"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5.3 企业价值链减排（10%）</w:t>
            </w:r>
          </w:p>
        </w:tc>
        <w:tc>
          <w:tcPr>
            <w:tcW w:w="9072" w:type="dxa"/>
            <w:vAlign w:val="center"/>
            <w:hideMark/>
          </w:tcPr>
          <w:p w14:paraId="19A599A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5.3.1 推动汽车原材料供应商工厂开展企业碳管理或能源管理项目</w:t>
            </w:r>
          </w:p>
        </w:tc>
        <w:tc>
          <w:tcPr>
            <w:tcW w:w="912" w:type="dxa"/>
            <w:vAlign w:val="center"/>
            <w:hideMark/>
          </w:tcPr>
          <w:p w14:paraId="01044136"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64178233" w14:textId="77777777" w:rsidTr="00284E18">
        <w:trPr>
          <w:trHeight w:val="20"/>
        </w:trPr>
        <w:tc>
          <w:tcPr>
            <w:tcW w:w="0" w:type="auto"/>
            <w:vMerge/>
            <w:vAlign w:val="center"/>
            <w:hideMark/>
          </w:tcPr>
          <w:p w14:paraId="7717124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4B24751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50AD9075"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5.3.2 推动钢铁和/或铝的供应商开展减排行动，并披露减排绩效</w:t>
            </w:r>
          </w:p>
        </w:tc>
        <w:tc>
          <w:tcPr>
            <w:tcW w:w="912" w:type="dxa"/>
            <w:vAlign w:val="center"/>
            <w:hideMark/>
          </w:tcPr>
          <w:p w14:paraId="2D8BB7D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4</w:t>
            </w:r>
          </w:p>
        </w:tc>
      </w:tr>
      <w:tr w:rsidR="00284E18" w:rsidRPr="0000793C" w14:paraId="6E4B07E0" w14:textId="77777777" w:rsidTr="00284E18">
        <w:trPr>
          <w:trHeight w:val="20"/>
        </w:trPr>
        <w:tc>
          <w:tcPr>
            <w:tcW w:w="0" w:type="auto"/>
            <w:vMerge/>
            <w:vAlign w:val="center"/>
            <w:hideMark/>
          </w:tcPr>
          <w:p w14:paraId="74EABDF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6C87561E"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1EFFBA8E"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5.3.3 推动电池等其他材料的供应商开展减排行动，并披露减排绩效</w:t>
            </w:r>
          </w:p>
        </w:tc>
        <w:tc>
          <w:tcPr>
            <w:tcW w:w="912" w:type="dxa"/>
            <w:vAlign w:val="center"/>
            <w:hideMark/>
          </w:tcPr>
          <w:p w14:paraId="53A4A49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0D91CF84" w14:textId="77777777" w:rsidTr="00284E18">
        <w:trPr>
          <w:trHeight w:val="20"/>
        </w:trPr>
        <w:tc>
          <w:tcPr>
            <w:tcW w:w="0" w:type="auto"/>
            <w:vMerge/>
            <w:vAlign w:val="center"/>
            <w:hideMark/>
          </w:tcPr>
          <w:p w14:paraId="4F7A001B"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1662DCA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69B7F27E"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5.3.4 与物流供应商合作开展减排项目，并披露项目减排量</w:t>
            </w:r>
          </w:p>
        </w:tc>
        <w:tc>
          <w:tcPr>
            <w:tcW w:w="912" w:type="dxa"/>
            <w:vAlign w:val="center"/>
            <w:hideMark/>
          </w:tcPr>
          <w:p w14:paraId="50DEC75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792B8A15" w14:textId="77777777" w:rsidTr="00284E18">
        <w:trPr>
          <w:trHeight w:val="20"/>
        </w:trPr>
        <w:tc>
          <w:tcPr>
            <w:tcW w:w="0" w:type="auto"/>
            <w:vMerge/>
            <w:vAlign w:val="center"/>
            <w:hideMark/>
          </w:tcPr>
          <w:p w14:paraId="2DD2A0F1"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04751AE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1B9642ED"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5.3.5 建立（或和下游客户联合建立）末端回收机制，开展报废汽车、废旧电池或其他零部件回收及循环利用</w:t>
            </w:r>
          </w:p>
        </w:tc>
        <w:tc>
          <w:tcPr>
            <w:tcW w:w="912" w:type="dxa"/>
            <w:vAlign w:val="center"/>
            <w:hideMark/>
          </w:tcPr>
          <w:p w14:paraId="6E922F4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0.5</w:t>
            </w:r>
          </w:p>
        </w:tc>
      </w:tr>
      <w:tr w:rsidR="00284E18" w:rsidRPr="0000793C" w14:paraId="482A3262" w14:textId="77777777" w:rsidTr="00284E18">
        <w:trPr>
          <w:trHeight w:val="20"/>
        </w:trPr>
        <w:tc>
          <w:tcPr>
            <w:tcW w:w="0" w:type="auto"/>
            <w:vMerge/>
            <w:vAlign w:val="center"/>
            <w:hideMark/>
          </w:tcPr>
          <w:p w14:paraId="165D2DC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0FB13522"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1C502209"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5.3.6 针对价值链上的其他排放源展开减排行动</w:t>
            </w:r>
          </w:p>
        </w:tc>
        <w:tc>
          <w:tcPr>
            <w:tcW w:w="912" w:type="dxa"/>
            <w:vAlign w:val="center"/>
            <w:hideMark/>
          </w:tcPr>
          <w:p w14:paraId="49366E1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0.5</w:t>
            </w:r>
          </w:p>
        </w:tc>
      </w:tr>
      <w:tr w:rsidR="00284E18" w:rsidRPr="0000793C" w14:paraId="38CAD009" w14:textId="77777777" w:rsidTr="00284E18">
        <w:trPr>
          <w:trHeight w:val="20"/>
        </w:trPr>
        <w:tc>
          <w:tcPr>
            <w:tcW w:w="0" w:type="auto"/>
            <w:vMerge/>
            <w:vAlign w:val="center"/>
            <w:hideMark/>
          </w:tcPr>
          <w:p w14:paraId="15DBC52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2B26293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72077BCA"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5.3.7 每年发布钢铁、铝、电池原材料供应商减排最佳案例</w:t>
            </w:r>
          </w:p>
        </w:tc>
        <w:tc>
          <w:tcPr>
            <w:tcW w:w="912" w:type="dxa"/>
            <w:vAlign w:val="center"/>
            <w:hideMark/>
          </w:tcPr>
          <w:p w14:paraId="2424F4A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4F2B8B1F" w14:textId="77777777" w:rsidTr="00284E18">
        <w:trPr>
          <w:trHeight w:val="20"/>
        </w:trPr>
        <w:tc>
          <w:tcPr>
            <w:tcW w:w="0" w:type="auto"/>
            <w:vMerge/>
            <w:vAlign w:val="center"/>
            <w:hideMark/>
          </w:tcPr>
          <w:p w14:paraId="579BBE89"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restart"/>
            <w:vAlign w:val="center"/>
            <w:hideMark/>
          </w:tcPr>
          <w:p w14:paraId="0CE982BC" w14:textId="101A46ED"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5.4 供应商企业自主开展碳管理（9%）</w:t>
            </w:r>
          </w:p>
        </w:tc>
        <w:tc>
          <w:tcPr>
            <w:tcW w:w="9072" w:type="dxa"/>
            <w:vAlign w:val="center"/>
            <w:hideMark/>
          </w:tcPr>
          <w:p w14:paraId="75492E86"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5.4.1 钢铁和/或铝材供应商自主核算并公开披露工厂层级年度排放数据</w:t>
            </w:r>
          </w:p>
        </w:tc>
        <w:tc>
          <w:tcPr>
            <w:tcW w:w="912" w:type="dxa"/>
            <w:vAlign w:val="center"/>
            <w:hideMark/>
          </w:tcPr>
          <w:p w14:paraId="138ACEC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213FC342" w14:textId="77777777" w:rsidTr="00284E18">
        <w:trPr>
          <w:trHeight w:val="20"/>
        </w:trPr>
        <w:tc>
          <w:tcPr>
            <w:tcW w:w="0" w:type="auto"/>
            <w:vMerge/>
            <w:vAlign w:val="center"/>
            <w:hideMark/>
          </w:tcPr>
          <w:p w14:paraId="54851481"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10707674"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457CEE99"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5.4.2 钢铁和/或铝材供应商自主设定并公开披露工厂层级目标与进展</w:t>
            </w:r>
          </w:p>
        </w:tc>
        <w:tc>
          <w:tcPr>
            <w:tcW w:w="912" w:type="dxa"/>
            <w:vAlign w:val="center"/>
            <w:hideMark/>
          </w:tcPr>
          <w:p w14:paraId="64DA2EB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14468964" w14:textId="77777777" w:rsidTr="00284E18">
        <w:trPr>
          <w:trHeight w:val="20"/>
        </w:trPr>
        <w:tc>
          <w:tcPr>
            <w:tcW w:w="0" w:type="auto"/>
            <w:vMerge/>
            <w:vAlign w:val="center"/>
            <w:hideMark/>
          </w:tcPr>
          <w:p w14:paraId="2632701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780366F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3592038C"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5.4.3 电池及电池材料供应商自主核算并公开披露工厂层级年度排放数据</w:t>
            </w:r>
          </w:p>
        </w:tc>
        <w:tc>
          <w:tcPr>
            <w:tcW w:w="912" w:type="dxa"/>
            <w:vAlign w:val="center"/>
            <w:hideMark/>
          </w:tcPr>
          <w:p w14:paraId="3D9EE867"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2</w:t>
            </w:r>
          </w:p>
        </w:tc>
      </w:tr>
      <w:tr w:rsidR="00284E18" w:rsidRPr="0000793C" w14:paraId="404775EE" w14:textId="77777777" w:rsidTr="00284E18">
        <w:trPr>
          <w:trHeight w:val="20"/>
        </w:trPr>
        <w:tc>
          <w:tcPr>
            <w:tcW w:w="0" w:type="auto"/>
            <w:vMerge/>
            <w:vAlign w:val="center"/>
            <w:hideMark/>
          </w:tcPr>
          <w:p w14:paraId="7111903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49D6E52D"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5422BC99"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5.4.4 电池及电池材料供应商自主设定并公开披露工厂层级目标与进展</w:t>
            </w:r>
          </w:p>
        </w:tc>
        <w:tc>
          <w:tcPr>
            <w:tcW w:w="912" w:type="dxa"/>
            <w:vAlign w:val="center"/>
            <w:hideMark/>
          </w:tcPr>
          <w:p w14:paraId="53AA1DD6"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02970344" w14:textId="77777777" w:rsidTr="00284E18">
        <w:trPr>
          <w:trHeight w:val="20"/>
        </w:trPr>
        <w:tc>
          <w:tcPr>
            <w:tcW w:w="0" w:type="auto"/>
            <w:vMerge/>
            <w:vAlign w:val="center"/>
            <w:hideMark/>
          </w:tcPr>
          <w:p w14:paraId="1084077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341F88E5"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38D38E29"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5.4.5 其他材料或零部件供应商自主核算并公开披露工厂层级年度排放数据</w:t>
            </w:r>
          </w:p>
        </w:tc>
        <w:tc>
          <w:tcPr>
            <w:tcW w:w="912" w:type="dxa"/>
            <w:vAlign w:val="center"/>
            <w:hideMark/>
          </w:tcPr>
          <w:p w14:paraId="270193FC"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5ADA5F9A" w14:textId="77777777" w:rsidTr="00284E18">
        <w:trPr>
          <w:trHeight w:val="20"/>
        </w:trPr>
        <w:tc>
          <w:tcPr>
            <w:tcW w:w="0" w:type="auto"/>
            <w:vMerge/>
            <w:vAlign w:val="center"/>
            <w:hideMark/>
          </w:tcPr>
          <w:p w14:paraId="7664FD93"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1B60E140"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6EAE0D6B"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5.4.6 其他材料或零部件供应商自主设定并公开披露工厂层级目标与进展</w:t>
            </w:r>
          </w:p>
        </w:tc>
        <w:tc>
          <w:tcPr>
            <w:tcW w:w="912" w:type="dxa"/>
            <w:vAlign w:val="center"/>
            <w:hideMark/>
          </w:tcPr>
          <w:p w14:paraId="2645B26A"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r w:rsidR="00284E18" w:rsidRPr="0000793C" w14:paraId="12408BD3" w14:textId="77777777" w:rsidTr="00284E18">
        <w:trPr>
          <w:trHeight w:val="20"/>
        </w:trPr>
        <w:tc>
          <w:tcPr>
            <w:tcW w:w="0" w:type="auto"/>
            <w:vMerge/>
            <w:vAlign w:val="center"/>
            <w:hideMark/>
          </w:tcPr>
          <w:p w14:paraId="069281A6"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2019" w:type="dxa"/>
            <w:vMerge/>
            <w:vAlign w:val="center"/>
            <w:hideMark/>
          </w:tcPr>
          <w:p w14:paraId="3D846398"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p>
        </w:tc>
        <w:tc>
          <w:tcPr>
            <w:tcW w:w="9072" w:type="dxa"/>
            <w:vAlign w:val="center"/>
            <w:hideMark/>
          </w:tcPr>
          <w:p w14:paraId="1AED9118" w14:textId="77777777" w:rsidR="00284E18" w:rsidRPr="0000793C" w:rsidRDefault="00284E18" w:rsidP="00284E18">
            <w:pP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color w:val="000000" w:themeColor="text1"/>
                <w:sz w:val="18"/>
                <w:szCs w:val="18"/>
              </w:rPr>
              <w:t>5.4.7 企业通过蔚蓝生态链或等效自动化系统赋能上游供应商开展供应链碳管理</w:t>
            </w:r>
            <w:r w:rsidRPr="0000793C">
              <w:rPr>
                <w:rFonts w:ascii="Microsoft YaHei UI" w:eastAsia="Microsoft YaHei UI" w:hAnsi="Microsoft YaHei UI" w:cs="Calibri" w:hint="eastAsia"/>
                <w:color w:val="000000" w:themeColor="text1"/>
                <w:sz w:val="18"/>
                <w:szCs w:val="18"/>
              </w:rPr>
              <w:br/>
            </w:r>
            <w:r w:rsidRPr="0000793C">
              <w:rPr>
                <w:rFonts w:ascii="Microsoft YaHei UI" w:eastAsia="Microsoft YaHei UI" w:hAnsi="Microsoft YaHei UI" w:cs="Calibri"/>
                <w:color w:val="000000" w:themeColor="text1"/>
                <w:sz w:val="18"/>
                <w:szCs w:val="18"/>
              </w:rPr>
              <w:t>或 企业推动钢铁和/或铝材供应商通过公开渠道披露产品碳足迹数据</w:t>
            </w:r>
          </w:p>
        </w:tc>
        <w:tc>
          <w:tcPr>
            <w:tcW w:w="912" w:type="dxa"/>
            <w:noWrap/>
            <w:vAlign w:val="center"/>
            <w:hideMark/>
          </w:tcPr>
          <w:p w14:paraId="26E3F526" w14:textId="77777777" w:rsidR="00284E18" w:rsidRPr="0000793C" w:rsidRDefault="00284E18" w:rsidP="00284E18">
            <w:pPr>
              <w:jc w:val="center"/>
              <w:rPr>
                <w:rFonts w:ascii="Microsoft YaHei UI" w:eastAsia="Microsoft YaHei UI" w:hAnsi="Microsoft YaHei UI" w:cs="Calibri"/>
                <w:color w:val="000000" w:themeColor="text1"/>
                <w:sz w:val="18"/>
                <w:szCs w:val="18"/>
              </w:rPr>
            </w:pPr>
            <w:r w:rsidRPr="0000793C">
              <w:rPr>
                <w:rFonts w:ascii="Microsoft YaHei UI" w:eastAsia="Microsoft YaHei UI" w:hAnsi="Microsoft YaHei UI" w:cs="Calibri" w:hint="eastAsia"/>
                <w:color w:val="000000" w:themeColor="text1"/>
                <w:sz w:val="18"/>
                <w:szCs w:val="18"/>
              </w:rPr>
              <w:t>1</w:t>
            </w:r>
          </w:p>
        </w:tc>
      </w:tr>
    </w:tbl>
    <w:p w14:paraId="6763669C" w14:textId="77777777" w:rsidR="00284E18" w:rsidRPr="007F5F9B" w:rsidRDefault="00284E18" w:rsidP="0098372E">
      <w:pPr>
        <w:rPr>
          <w:rFonts w:ascii="Microsoft YaHei UI" w:eastAsia="Microsoft YaHei UI" w:hAnsi="Microsoft YaHei UI"/>
          <w:sz w:val="22"/>
          <w:szCs w:val="22"/>
        </w:rPr>
        <w:sectPr w:rsidR="00284E18" w:rsidRPr="007F5F9B" w:rsidSect="00702A3E">
          <w:pgSz w:w="16838" w:h="11906" w:orient="landscape"/>
          <w:pgMar w:top="1800" w:right="1440" w:bottom="1800" w:left="1440" w:header="851" w:footer="992" w:gutter="0"/>
          <w:cols w:space="425"/>
          <w:docGrid w:type="lines" w:linePitch="312"/>
        </w:sectPr>
      </w:pPr>
    </w:p>
    <w:p w14:paraId="6684BC91" w14:textId="08A98C9D" w:rsidR="00284E18" w:rsidRPr="00276C2D" w:rsidRDefault="00D62A9A" w:rsidP="00B254A0">
      <w:pPr>
        <w:jc w:val="center"/>
        <w:outlineLvl w:val="0"/>
        <w:rPr>
          <w:rFonts w:ascii="Microsoft YaHei UI" w:eastAsia="Microsoft YaHei UI" w:hAnsi="Microsoft YaHei UI"/>
          <w:b/>
          <w:bCs/>
          <w:color w:val="000000" w:themeColor="text1"/>
          <w:sz w:val="32"/>
          <w:szCs w:val="32"/>
        </w:rPr>
      </w:pPr>
      <w:r w:rsidRPr="00276C2D">
        <w:rPr>
          <w:rFonts w:ascii="Microsoft YaHei UI" w:eastAsia="Microsoft YaHei UI" w:hAnsi="Microsoft YaHei UI"/>
          <w:b/>
          <w:bCs/>
          <w:color w:val="000000" w:themeColor="text1"/>
          <w:sz w:val="32"/>
          <w:szCs w:val="32"/>
        </w:rPr>
        <w:lastRenderedPageBreak/>
        <w:t>Automotive Industry Corporate Climate Action Transparency Index (CATI)</w:t>
      </w:r>
      <w:r w:rsidR="001F51B9" w:rsidRPr="00276C2D">
        <w:rPr>
          <w:rFonts w:ascii="Microsoft YaHei UI" w:eastAsia="Microsoft YaHei UI" w:hAnsi="Microsoft YaHei UI"/>
          <w:b/>
          <w:bCs/>
          <w:color w:val="000000" w:themeColor="text1"/>
          <w:sz w:val="32"/>
          <w:szCs w:val="32"/>
        </w:rPr>
        <w:t xml:space="preserve"> </w:t>
      </w:r>
      <w:r w:rsidR="00EB6021" w:rsidRPr="00276C2D">
        <w:rPr>
          <w:rFonts w:ascii="Microsoft YaHei UI" w:eastAsia="Microsoft YaHei UI" w:hAnsi="Microsoft YaHei UI" w:hint="eastAsia"/>
          <w:b/>
          <w:bCs/>
          <w:color w:val="000000" w:themeColor="text1"/>
          <w:sz w:val="32"/>
          <w:szCs w:val="32"/>
        </w:rPr>
        <w:t>3</w:t>
      </w:r>
      <w:r w:rsidR="001F51B9" w:rsidRPr="00276C2D">
        <w:rPr>
          <w:rFonts w:ascii="Microsoft YaHei UI" w:eastAsia="Microsoft YaHei UI" w:hAnsi="Microsoft YaHei UI"/>
          <w:b/>
          <w:bCs/>
          <w:color w:val="000000" w:themeColor="text1"/>
          <w:sz w:val="32"/>
          <w:szCs w:val="32"/>
        </w:rPr>
        <w:t>.0</w:t>
      </w:r>
    </w:p>
    <w:tbl>
      <w:tblPr>
        <w:tblStyle w:val="TableGrid"/>
        <w:tblW w:w="0" w:type="auto"/>
        <w:tblLook w:val="04A0" w:firstRow="1" w:lastRow="0" w:firstColumn="1" w:lastColumn="0" w:noHBand="0" w:noVBand="1"/>
      </w:tblPr>
      <w:tblGrid>
        <w:gridCol w:w="1980"/>
        <w:gridCol w:w="1984"/>
        <w:gridCol w:w="9072"/>
        <w:gridCol w:w="912"/>
      </w:tblGrid>
      <w:tr w:rsidR="00284E18" w:rsidRPr="00276C2D" w14:paraId="2E2F2F65" w14:textId="77777777" w:rsidTr="00276C2D">
        <w:trPr>
          <w:trHeight w:val="87"/>
        </w:trPr>
        <w:tc>
          <w:tcPr>
            <w:tcW w:w="1980" w:type="dxa"/>
            <w:vAlign w:val="center"/>
            <w:hideMark/>
          </w:tcPr>
          <w:p w14:paraId="7A82C0F4" w14:textId="77777777" w:rsidR="00284E18" w:rsidRPr="00276C2D" w:rsidRDefault="00284E18" w:rsidP="00284E18">
            <w:pPr>
              <w:jc w:val="center"/>
              <w:rPr>
                <w:rFonts w:ascii="Microsoft YaHei UI" w:eastAsia="Microsoft YaHei UI" w:hAnsi="Microsoft YaHei UI"/>
                <w:b/>
                <w:bCs/>
                <w:color w:val="000000" w:themeColor="text1"/>
                <w:sz w:val="20"/>
                <w:szCs w:val="20"/>
              </w:rPr>
            </w:pPr>
            <w:r w:rsidRPr="00276C2D">
              <w:rPr>
                <w:rFonts w:ascii="Microsoft YaHei UI" w:eastAsia="Microsoft YaHei UI" w:hAnsi="Microsoft YaHei UI"/>
                <w:b/>
                <w:bCs/>
                <w:color w:val="000000" w:themeColor="text1"/>
                <w:sz w:val="20"/>
                <w:szCs w:val="20"/>
              </w:rPr>
              <w:t>Dimension</w:t>
            </w:r>
          </w:p>
        </w:tc>
        <w:tc>
          <w:tcPr>
            <w:tcW w:w="1984" w:type="dxa"/>
            <w:vAlign w:val="center"/>
            <w:hideMark/>
          </w:tcPr>
          <w:p w14:paraId="05314AC7" w14:textId="77777777" w:rsidR="00284E18" w:rsidRPr="00276C2D" w:rsidRDefault="00284E18" w:rsidP="00284E18">
            <w:pPr>
              <w:jc w:val="center"/>
              <w:rPr>
                <w:rFonts w:ascii="Microsoft YaHei UI" w:eastAsia="Microsoft YaHei UI" w:hAnsi="Microsoft YaHei UI"/>
                <w:b/>
                <w:bCs/>
                <w:color w:val="000000" w:themeColor="text1"/>
                <w:sz w:val="20"/>
                <w:szCs w:val="20"/>
              </w:rPr>
            </w:pPr>
            <w:r w:rsidRPr="00276C2D">
              <w:rPr>
                <w:rFonts w:ascii="Microsoft YaHei UI" w:eastAsia="Microsoft YaHei UI" w:hAnsi="Microsoft YaHei UI"/>
                <w:b/>
                <w:bCs/>
                <w:color w:val="000000" w:themeColor="text1"/>
                <w:sz w:val="20"/>
                <w:szCs w:val="20"/>
              </w:rPr>
              <w:t>Sub-dimension</w:t>
            </w:r>
          </w:p>
        </w:tc>
        <w:tc>
          <w:tcPr>
            <w:tcW w:w="9072" w:type="dxa"/>
            <w:vAlign w:val="center"/>
            <w:hideMark/>
          </w:tcPr>
          <w:p w14:paraId="4F0E6A9E" w14:textId="24B49952" w:rsidR="00284E18" w:rsidRPr="00276C2D" w:rsidRDefault="00284E18" w:rsidP="00284E18">
            <w:pPr>
              <w:jc w:val="center"/>
              <w:rPr>
                <w:rFonts w:ascii="Microsoft YaHei UI" w:eastAsia="Microsoft YaHei UI" w:hAnsi="Microsoft YaHei UI"/>
                <w:b/>
                <w:bCs/>
                <w:color w:val="000000" w:themeColor="text1"/>
                <w:sz w:val="20"/>
                <w:szCs w:val="20"/>
              </w:rPr>
            </w:pPr>
            <w:r w:rsidRPr="00276C2D">
              <w:rPr>
                <w:rFonts w:ascii="Microsoft YaHei UI" w:eastAsia="Microsoft YaHei UI" w:hAnsi="Microsoft YaHei UI"/>
                <w:b/>
                <w:bCs/>
                <w:color w:val="000000" w:themeColor="text1"/>
                <w:sz w:val="20"/>
                <w:szCs w:val="20"/>
              </w:rPr>
              <w:t>Indicator</w:t>
            </w:r>
          </w:p>
        </w:tc>
        <w:tc>
          <w:tcPr>
            <w:tcW w:w="912" w:type="dxa"/>
            <w:vAlign w:val="center"/>
            <w:hideMark/>
          </w:tcPr>
          <w:p w14:paraId="771CFD52" w14:textId="77777777" w:rsidR="00284E18" w:rsidRPr="00276C2D" w:rsidRDefault="00284E18" w:rsidP="00284E18">
            <w:pPr>
              <w:jc w:val="center"/>
              <w:rPr>
                <w:rFonts w:ascii="Microsoft YaHei UI" w:eastAsia="Microsoft YaHei UI" w:hAnsi="Microsoft YaHei UI"/>
                <w:b/>
                <w:bCs/>
                <w:color w:val="000000" w:themeColor="text1"/>
                <w:sz w:val="20"/>
                <w:szCs w:val="20"/>
              </w:rPr>
            </w:pPr>
            <w:r w:rsidRPr="00276C2D">
              <w:rPr>
                <w:rFonts w:ascii="Microsoft YaHei UI" w:eastAsia="Microsoft YaHei UI" w:hAnsi="Microsoft YaHei UI"/>
                <w:b/>
                <w:bCs/>
                <w:color w:val="000000" w:themeColor="text1"/>
                <w:sz w:val="20"/>
                <w:szCs w:val="20"/>
              </w:rPr>
              <w:t>Score</w:t>
            </w:r>
          </w:p>
        </w:tc>
      </w:tr>
      <w:tr w:rsidR="00284E18" w:rsidRPr="00B254A0" w14:paraId="6298FE03" w14:textId="77777777" w:rsidTr="00284E18">
        <w:trPr>
          <w:trHeight w:val="20"/>
        </w:trPr>
        <w:tc>
          <w:tcPr>
            <w:tcW w:w="1980" w:type="dxa"/>
            <w:vMerge w:val="restart"/>
            <w:vAlign w:val="center"/>
            <w:hideMark/>
          </w:tcPr>
          <w:p w14:paraId="633A123A" w14:textId="684AD899"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 Governance (10</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1984" w:type="dxa"/>
            <w:vMerge w:val="restart"/>
            <w:vAlign w:val="center"/>
            <w:hideMark/>
          </w:tcPr>
          <w:p w14:paraId="45DA216C" w14:textId="14B1495C"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1.1 Policy Construction (5</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5C410AB8"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1.1.1 Company has committed to decarbonizing the automotive industry chain</w:t>
            </w:r>
          </w:p>
        </w:tc>
        <w:tc>
          <w:tcPr>
            <w:tcW w:w="912" w:type="dxa"/>
            <w:vAlign w:val="center"/>
            <w:hideMark/>
          </w:tcPr>
          <w:p w14:paraId="4645108E"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3E716B33" w14:textId="77777777" w:rsidTr="00284E18">
        <w:trPr>
          <w:trHeight w:val="20"/>
        </w:trPr>
        <w:tc>
          <w:tcPr>
            <w:tcW w:w="1980" w:type="dxa"/>
            <w:vMerge/>
            <w:vAlign w:val="center"/>
            <w:hideMark/>
          </w:tcPr>
          <w:p w14:paraId="22559E8B"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49B01216"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02B2BCCC"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1.1.2 Company has committed to transition from fuel vehicles</w:t>
            </w:r>
          </w:p>
        </w:tc>
        <w:tc>
          <w:tcPr>
            <w:tcW w:w="912" w:type="dxa"/>
            <w:vAlign w:val="center"/>
            <w:hideMark/>
          </w:tcPr>
          <w:p w14:paraId="1E0199AE"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6AD576DB" w14:textId="77777777" w:rsidTr="00284E18">
        <w:trPr>
          <w:trHeight w:val="20"/>
        </w:trPr>
        <w:tc>
          <w:tcPr>
            <w:tcW w:w="1980" w:type="dxa"/>
            <w:vMerge/>
            <w:vAlign w:val="center"/>
            <w:hideMark/>
          </w:tcPr>
          <w:p w14:paraId="202A5CD8"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143891BB"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593B5C71"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1.1.3 Company has developed a corporate carbon neutrality plan and management system</w:t>
            </w:r>
          </w:p>
        </w:tc>
        <w:tc>
          <w:tcPr>
            <w:tcW w:w="912" w:type="dxa"/>
            <w:vAlign w:val="center"/>
            <w:hideMark/>
          </w:tcPr>
          <w:p w14:paraId="55564D04"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0A117474" w14:textId="77777777" w:rsidTr="00284E18">
        <w:trPr>
          <w:trHeight w:val="20"/>
        </w:trPr>
        <w:tc>
          <w:tcPr>
            <w:tcW w:w="1980" w:type="dxa"/>
            <w:vMerge/>
            <w:vAlign w:val="center"/>
            <w:hideMark/>
          </w:tcPr>
          <w:p w14:paraId="1A3D98B0"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4817456B"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3FCEFD87"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1.1.4 Company has incorporated policies regarding supplier energy conservation, emissions reduction, and carbon accounting and reporting into written documents such as the Supplier Code of Conduct</w:t>
            </w:r>
          </w:p>
        </w:tc>
        <w:tc>
          <w:tcPr>
            <w:tcW w:w="912" w:type="dxa"/>
            <w:vAlign w:val="center"/>
            <w:hideMark/>
          </w:tcPr>
          <w:p w14:paraId="02E0EDDA"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57E50EC7" w14:textId="77777777" w:rsidTr="00284E18">
        <w:trPr>
          <w:trHeight w:val="20"/>
        </w:trPr>
        <w:tc>
          <w:tcPr>
            <w:tcW w:w="1980" w:type="dxa"/>
            <w:vMerge/>
            <w:vAlign w:val="center"/>
            <w:hideMark/>
          </w:tcPr>
          <w:p w14:paraId="5AAD38B8"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restart"/>
            <w:vAlign w:val="center"/>
            <w:hideMark/>
          </w:tcPr>
          <w:p w14:paraId="4265CC9E" w14:textId="1E4DD2BD"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1.2 Mechanism Construction (5</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56679586"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1.2.1 Company has integrated climate-related issues into its business strategy and has specific climate-related risk management procedures in place</w:t>
            </w:r>
          </w:p>
        </w:tc>
        <w:tc>
          <w:tcPr>
            <w:tcW w:w="912" w:type="dxa"/>
            <w:vAlign w:val="center"/>
            <w:hideMark/>
          </w:tcPr>
          <w:p w14:paraId="5EE0247F"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271BC77C" w14:textId="77777777" w:rsidTr="00284E18">
        <w:trPr>
          <w:trHeight w:val="20"/>
        </w:trPr>
        <w:tc>
          <w:tcPr>
            <w:tcW w:w="1980" w:type="dxa"/>
            <w:vMerge/>
            <w:vAlign w:val="center"/>
            <w:hideMark/>
          </w:tcPr>
          <w:p w14:paraId="0974BEB0"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5EC429F9"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68B0C9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1.2.2 Company has integrated climate-related issues into board-level monitoring, management and oversight responsibility</w:t>
            </w:r>
          </w:p>
        </w:tc>
        <w:tc>
          <w:tcPr>
            <w:tcW w:w="912" w:type="dxa"/>
            <w:vAlign w:val="center"/>
            <w:hideMark/>
          </w:tcPr>
          <w:p w14:paraId="3F6F2CF0"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1F22FB4D" w14:textId="77777777" w:rsidTr="00284E18">
        <w:trPr>
          <w:trHeight w:val="20"/>
        </w:trPr>
        <w:tc>
          <w:tcPr>
            <w:tcW w:w="1980" w:type="dxa"/>
            <w:vMerge/>
            <w:vAlign w:val="center"/>
            <w:hideMark/>
          </w:tcPr>
          <w:p w14:paraId="6FC0A0C8"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4BE51676"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E9B85CF"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1.2.3 Company provides capacity building and financial incentives, and/or initiates innovative projects for suppliers to reduce emissions</w:t>
            </w:r>
          </w:p>
        </w:tc>
        <w:tc>
          <w:tcPr>
            <w:tcW w:w="912" w:type="dxa"/>
            <w:vAlign w:val="center"/>
            <w:hideMark/>
          </w:tcPr>
          <w:p w14:paraId="1F6920FB"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7E07FA2C" w14:textId="77777777" w:rsidTr="00284E18">
        <w:trPr>
          <w:trHeight w:val="20"/>
        </w:trPr>
        <w:tc>
          <w:tcPr>
            <w:tcW w:w="1980" w:type="dxa"/>
            <w:vMerge w:val="restart"/>
            <w:vAlign w:val="center"/>
            <w:hideMark/>
          </w:tcPr>
          <w:p w14:paraId="1C0F82B4" w14:textId="1A644B7D"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 Measurement &amp; Disclosure (22</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1984" w:type="dxa"/>
            <w:vMerge w:val="restart"/>
            <w:vAlign w:val="center"/>
            <w:hideMark/>
          </w:tcPr>
          <w:p w14:paraId="1A16030B" w14:textId="2A9A55D5"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2.1 Scope 1&amp;2 Emission (10</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597F73B1"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2.1.1 Company has publicly disclosed Scope 1 &amp; 2 emissions data</w:t>
            </w:r>
          </w:p>
        </w:tc>
        <w:tc>
          <w:tcPr>
            <w:tcW w:w="912" w:type="dxa"/>
            <w:vAlign w:val="center"/>
            <w:hideMark/>
          </w:tcPr>
          <w:p w14:paraId="09863E12"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w:t>
            </w:r>
          </w:p>
        </w:tc>
      </w:tr>
      <w:tr w:rsidR="00284E18" w:rsidRPr="00B254A0" w14:paraId="41881A3A" w14:textId="77777777" w:rsidTr="00284E18">
        <w:trPr>
          <w:trHeight w:val="20"/>
        </w:trPr>
        <w:tc>
          <w:tcPr>
            <w:tcW w:w="1980" w:type="dxa"/>
            <w:vMerge/>
            <w:vAlign w:val="center"/>
            <w:hideMark/>
          </w:tcPr>
          <w:p w14:paraId="13156EAF"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3843FD6D"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35E0DE0"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2.1.2 Company has publicly disclosed total energy use and energy use by source</w:t>
            </w:r>
          </w:p>
        </w:tc>
        <w:tc>
          <w:tcPr>
            <w:tcW w:w="912" w:type="dxa"/>
            <w:vAlign w:val="center"/>
            <w:hideMark/>
          </w:tcPr>
          <w:p w14:paraId="6A470498"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w:t>
            </w:r>
          </w:p>
        </w:tc>
      </w:tr>
      <w:tr w:rsidR="00284E18" w:rsidRPr="00B254A0" w14:paraId="1A93604F" w14:textId="77777777" w:rsidTr="00284E18">
        <w:trPr>
          <w:trHeight w:val="20"/>
        </w:trPr>
        <w:tc>
          <w:tcPr>
            <w:tcW w:w="1980" w:type="dxa"/>
            <w:vMerge/>
            <w:vAlign w:val="center"/>
            <w:hideMark/>
          </w:tcPr>
          <w:p w14:paraId="1D630933"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7B64B31B"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6137FAE2"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2.1.3 Company has publicly disclosed carbon intensity or energy intensity</w:t>
            </w:r>
          </w:p>
        </w:tc>
        <w:tc>
          <w:tcPr>
            <w:tcW w:w="912" w:type="dxa"/>
            <w:vAlign w:val="center"/>
            <w:hideMark/>
          </w:tcPr>
          <w:p w14:paraId="3BA0957B"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2F44E892" w14:textId="77777777" w:rsidTr="00284E18">
        <w:trPr>
          <w:trHeight w:val="20"/>
        </w:trPr>
        <w:tc>
          <w:tcPr>
            <w:tcW w:w="1980" w:type="dxa"/>
            <w:vMerge/>
            <w:vAlign w:val="center"/>
            <w:hideMark/>
          </w:tcPr>
          <w:p w14:paraId="22E27B43"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restart"/>
            <w:vAlign w:val="center"/>
            <w:hideMark/>
          </w:tcPr>
          <w:p w14:paraId="659F7488" w14:textId="7DDB968E"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2.2 Scope 3</w:t>
            </w:r>
            <w:r w:rsidRPr="00B254A0">
              <w:rPr>
                <w:rFonts w:ascii="Microsoft YaHei UI" w:eastAsia="Microsoft YaHei UI" w:hAnsi="Microsoft YaHei UI"/>
                <w:color w:val="000000" w:themeColor="text1"/>
                <w:sz w:val="18"/>
                <w:szCs w:val="18"/>
              </w:rPr>
              <w:br/>
              <w:t>Emission (6</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31467247"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2.2.1 Company has publicly disclosed Scope 3 emissions</w:t>
            </w:r>
          </w:p>
        </w:tc>
        <w:tc>
          <w:tcPr>
            <w:tcW w:w="912" w:type="dxa"/>
            <w:vAlign w:val="center"/>
            <w:hideMark/>
          </w:tcPr>
          <w:p w14:paraId="769AE4B5"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w:t>
            </w:r>
          </w:p>
        </w:tc>
      </w:tr>
      <w:tr w:rsidR="00284E18" w:rsidRPr="00B254A0" w14:paraId="5482148F" w14:textId="77777777" w:rsidTr="00284E18">
        <w:trPr>
          <w:trHeight w:val="20"/>
        </w:trPr>
        <w:tc>
          <w:tcPr>
            <w:tcW w:w="1980" w:type="dxa"/>
            <w:vMerge/>
            <w:vAlign w:val="center"/>
            <w:hideMark/>
          </w:tcPr>
          <w:p w14:paraId="019AE36A"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2E12F9BA"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9033275"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2.2.2 Company has calculated and disclosed emissions or the proportion of emissions associated with raw materials such as steel and aluminum</w:t>
            </w:r>
          </w:p>
        </w:tc>
        <w:tc>
          <w:tcPr>
            <w:tcW w:w="912" w:type="dxa"/>
            <w:vAlign w:val="center"/>
            <w:hideMark/>
          </w:tcPr>
          <w:p w14:paraId="7AB38855"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56F4A8E4" w14:textId="77777777" w:rsidTr="00284E18">
        <w:trPr>
          <w:trHeight w:val="20"/>
        </w:trPr>
        <w:tc>
          <w:tcPr>
            <w:tcW w:w="1980" w:type="dxa"/>
            <w:vMerge/>
            <w:vAlign w:val="center"/>
            <w:hideMark/>
          </w:tcPr>
          <w:p w14:paraId="1D5B94C8"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5D678689"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67A1135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2.2.3 Company collects supplier carbon emissions data on a regular basis</w:t>
            </w:r>
          </w:p>
        </w:tc>
        <w:tc>
          <w:tcPr>
            <w:tcW w:w="912" w:type="dxa"/>
            <w:vAlign w:val="center"/>
            <w:hideMark/>
          </w:tcPr>
          <w:p w14:paraId="29705EE1"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0479D7A9" w14:textId="77777777" w:rsidTr="00284E18">
        <w:trPr>
          <w:trHeight w:val="20"/>
        </w:trPr>
        <w:tc>
          <w:tcPr>
            <w:tcW w:w="1980" w:type="dxa"/>
            <w:vMerge/>
            <w:vAlign w:val="center"/>
            <w:hideMark/>
          </w:tcPr>
          <w:p w14:paraId="030013CA"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Align w:val="center"/>
            <w:hideMark/>
          </w:tcPr>
          <w:p w14:paraId="3503E182" w14:textId="6C2BBF0B"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2.3 Product Carbon Footprint (6</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70EF09C0"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2.3.1 Company has publicly disclosed product carbon footprint</w:t>
            </w:r>
          </w:p>
        </w:tc>
        <w:tc>
          <w:tcPr>
            <w:tcW w:w="912" w:type="dxa"/>
            <w:vAlign w:val="center"/>
            <w:hideMark/>
          </w:tcPr>
          <w:p w14:paraId="1D55ED35"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6</w:t>
            </w:r>
          </w:p>
        </w:tc>
      </w:tr>
      <w:tr w:rsidR="00284E18" w:rsidRPr="00B254A0" w14:paraId="33B65CC1" w14:textId="77777777" w:rsidTr="00284E18">
        <w:trPr>
          <w:trHeight w:val="20"/>
        </w:trPr>
        <w:tc>
          <w:tcPr>
            <w:tcW w:w="1980" w:type="dxa"/>
            <w:vMerge w:val="restart"/>
            <w:vAlign w:val="center"/>
            <w:hideMark/>
          </w:tcPr>
          <w:p w14:paraId="515313DC" w14:textId="14B0AF16"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 xml:space="preserve">3. </w:t>
            </w:r>
            <w:r w:rsidRPr="00B254A0">
              <w:rPr>
                <w:rFonts w:ascii="Microsoft YaHei UI" w:eastAsia="Microsoft YaHei UI" w:hAnsi="Microsoft YaHei UI"/>
                <w:color w:val="000000" w:themeColor="text1"/>
                <w:sz w:val="18"/>
                <w:szCs w:val="18"/>
              </w:rPr>
              <w:br/>
              <w:t>Carbon Targets Setting (16</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1984" w:type="dxa"/>
            <w:vMerge w:val="restart"/>
            <w:vAlign w:val="center"/>
            <w:hideMark/>
          </w:tcPr>
          <w:p w14:paraId="7B2DB1DD" w14:textId="654CF3C4"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3.1 Scope 1&amp;2 Targets (7</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230D6E69"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3.1.1 Company has set and publicly disclosed its ongoing Scope 1 &amp; 2 emissions reduction targets or energy consumption targets</w:t>
            </w:r>
          </w:p>
        </w:tc>
        <w:tc>
          <w:tcPr>
            <w:tcW w:w="912" w:type="dxa"/>
            <w:vAlign w:val="center"/>
            <w:hideMark/>
          </w:tcPr>
          <w:p w14:paraId="5551870A"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w:t>
            </w:r>
          </w:p>
        </w:tc>
      </w:tr>
      <w:tr w:rsidR="00284E18" w:rsidRPr="00B254A0" w14:paraId="1118E9AA" w14:textId="77777777" w:rsidTr="00284E18">
        <w:trPr>
          <w:trHeight w:val="20"/>
        </w:trPr>
        <w:tc>
          <w:tcPr>
            <w:tcW w:w="1980" w:type="dxa"/>
            <w:vMerge/>
            <w:vAlign w:val="center"/>
            <w:hideMark/>
          </w:tcPr>
          <w:p w14:paraId="761134F2"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0D292A25"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F427513"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3.1.2 Company has set and publicly disclosed its Scope 1 &amp; 2 carbon neutrality target</w:t>
            </w:r>
          </w:p>
        </w:tc>
        <w:tc>
          <w:tcPr>
            <w:tcW w:w="912" w:type="dxa"/>
            <w:vAlign w:val="center"/>
            <w:hideMark/>
          </w:tcPr>
          <w:p w14:paraId="33925D7A"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15008BD6" w14:textId="77777777" w:rsidTr="00284E18">
        <w:trPr>
          <w:trHeight w:val="20"/>
        </w:trPr>
        <w:tc>
          <w:tcPr>
            <w:tcW w:w="1980" w:type="dxa"/>
            <w:vMerge/>
            <w:vAlign w:val="center"/>
            <w:hideMark/>
          </w:tcPr>
          <w:p w14:paraId="03C8D828"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4B192F40"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0369759"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3.1.3 Company has set and publicly disclosed its renewable energy target</w:t>
            </w:r>
          </w:p>
        </w:tc>
        <w:tc>
          <w:tcPr>
            <w:tcW w:w="912" w:type="dxa"/>
            <w:vAlign w:val="center"/>
            <w:hideMark/>
          </w:tcPr>
          <w:p w14:paraId="6958F6CA"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6668B587" w14:textId="77777777" w:rsidTr="00284E18">
        <w:trPr>
          <w:trHeight w:val="20"/>
        </w:trPr>
        <w:tc>
          <w:tcPr>
            <w:tcW w:w="1980" w:type="dxa"/>
            <w:vMerge/>
            <w:vAlign w:val="center"/>
            <w:hideMark/>
          </w:tcPr>
          <w:p w14:paraId="51014C29"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39D39C4F"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06204D42"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3.1.4 Scope 1 &amp; 2 climate targets are certified or approved by a third party, such as the Science Based Targets initiative (SBTi) or other initiatives</w:t>
            </w:r>
          </w:p>
        </w:tc>
        <w:tc>
          <w:tcPr>
            <w:tcW w:w="912" w:type="dxa"/>
            <w:vAlign w:val="center"/>
            <w:hideMark/>
          </w:tcPr>
          <w:p w14:paraId="20408630"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65A88E69" w14:textId="77777777" w:rsidTr="00284E18">
        <w:trPr>
          <w:trHeight w:val="20"/>
        </w:trPr>
        <w:tc>
          <w:tcPr>
            <w:tcW w:w="1980" w:type="dxa"/>
            <w:vMerge/>
            <w:vAlign w:val="center"/>
            <w:hideMark/>
          </w:tcPr>
          <w:p w14:paraId="5A08F0EE"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restart"/>
            <w:vAlign w:val="center"/>
            <w:hideMark/>
          </w:tcPr>
          <w:p w14:paraId="240FC217" w14:textId="37EC117F"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3.2 Scope 3 Targets (9</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0B95A7D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3.2.1 Company has set and publicly disclosed its ongoing Scope 3 emissions reduction targets</w:t>
            </w:r>
          </w:p>
        </w:tc>
        <w:tc>
          <w:tcPr>
            <w:tcW w:w="912" w:type="dxa"/>
            <w:vAlign w:val="center"/>
            <w:hideMark/>
          </w:tcPr>
          <w:p w14:paraId="07551237"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w:t>
            </w:r>
          </w:p>
        </w:tc>
      </w:tr>
      <w:tr w:rsidR="00284E18" w:rsidRPr="00B254A0" w14:paraId="60992B98" w14:textId="77777777" w:rsidTr="00284E18">
        <w:trPr>
          <w:trHeight w:val="20"/>
        </w:trPr>
        <w:tc>
          <w:tcPr>
            <w:tcW w:w="1980" w:type="dxa"/>
            <w:vMerge/>
            <w:vAlign w:val="center"/>
            <w:hideMark/>
          </w:tcPr>
          <w:p w14:paraId="0E6C4876"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6B248313"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2C5502F"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3.2.2 Company has set and disclosed emission reduction targets or low-carbon procurement targets for steel, aluminum, and battery raw materials.</w:t>
            </w:r>
          </w:p>
        </w:tc>
        <w:tc>
          <w:tcPr>
            <w:tcW w:w="912" w:type="dxa"/>
            <w:vAlign w:val="center"/>
            <w:hideMark/>
          </w:tcPr>
          <w:p w14:paraId="16A204A7"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5BE66054" w14:textId="77777777" w:rsidTr="00284E18">
        <w:trPr>
          <w:trHeight w:val="20"/>
        </w:trPr>
        <w:tc>
          <w:tcPr>
            <w:tcW w:w="1980" w:type="dxa"/>
            <w:vMerge/>
            <w:vAlign w:val="center"/>
            <w:hideMark/>
          </w:tcPr>
          <w:p w14:paraId="6F2A5782"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466C08A4"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39946381"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3.2.3 Company has set and publicly disclosed its Scope 3 carbon neutrality target</w:t>
            </w:r>
          </w:p>
        </w:tc>
        <w:tc>
          <w:tcPr>
            <w:tcW w:w="912" w:type="dxa"/>
            <w:vAlign w:val="center"/>
            <w:hideMark/>
          </w:tcPr>
          <w:p w14:paraId="0CBA233C"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517A31CD" w14:textId="77777777" w:rsidTr="00284E18">
        <w:trPr>
          <w:trHeight w:val="20"/>
        </w:trPr>
        <w:tc>
          <w:tcPr>
            <w:tcW w:w="1980" w:type="dxa"/>
            <w:vMerge/>
            <w:vAlign w:val="center"/>
            <w:hideMark/>
          </w:tcPr>
          <w:p w14:paraId="300A64D0"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19CA416D"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F3CBF78"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3.2.4 Company has set specific targets to motivate suppliers to set their own climate targets</w:t>
            </w:r>
          </w:p>
        </w:tc>
        <w:tc>
          <w:tcPr>
            <w:tcW w:w="912" w:type="dxa"/>
            <w:vAlign w:val="center"/>
            <w:hideMark/>
          </w:tcPr>
          <w:p w14:paraId="588A6CBB"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43D1E9CE" w14:textId="77777777" w:rsidTr="00284E18">
        <w:trPr>
          <w:trHeight w:val="20"/>
        </w:trPr>
        <w:tc>
          <w:tcPr>
            <w:tcW w:w="1980" w:type="dxa"/>
            <w:vMerge/>
            <w:vAlign w:val="center"/>
            <w:hideMark/>
          </w:tcPr>
          <w:p w14:paraId="57D56694"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30CD2531"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49189215"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3.2.5 Scope 3 climate targets are certified or approved by a third party, such as Science Based Targets initiative (SBTi) or other initiatives</w:t>
            </w:r>
          </w:p>
        </w:tc>
        <w:tc>
          <w:tcPr>
            <w:tcW w:w="912" w:type="dxa"/>
            <w:vAlign w:val="center"/>
            <w:hideMark/>
          </w:tcPr>
          <w:p w14:paraId="4EA8FBD5"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3C9DD8DB" w14:textId="77777777" w:rsidTr="00284E18">
        <w:trPr>
          <w:trHeight w:val="20"/>
        </w:trPr>
        <w:tc>
          <w:tcPr>
            <w:tcW w:w="1980" w:type="dxa"/>
            <w:vMerge w:val="restart"/>
            <w:vAlign w:val="center"/>
            <w:hideMark/>
          </w:tcPr>
          <w:p w14:paraId="67034BFD" w14:textId="5939AD11"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 Performance Towards Carbon Targets (14</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1984" w:type="dxa"/>
            <w:vMerge w:val="restart"/>
            <w:vAlign w:val="center"/>
            <w:hideMark/>
          </w:tcPr>
          <w:p w14:paraId="0487260B" w14:textId="76680B00"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4.1 Progress on Scope 1 &amp; 2 Climate Targets (6</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4FCB3482"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4.1.1 Company has publicly disclosed progress made towards its Scope 1 &amp; 2 emissions reduction targets or energy consumption targets</w:t>
            </w:r>
          </w:p>
        </w:tc>
        <w:tc>
          <w:tcPr>
            <w:tcW w:w="912" w:type="dxa"/>
            <w:vAlign w:val="center"/>
            <w:hideMark/>
          </w:tcPr>
          <w:p w14:paraId="41AA4820"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w:t>
            </w:r>
          </w:p>
        </w:tc>
      </w:tr>
      <w:tr w:rsidR="00284E18" w:rsidRPr="00B254A0" w14:paraId="38F049F4" w14:textId="77777777" w:rsidTr="00284E18">
        <w:trPr>
          <w:trHeight w:val="20"/>
        </w:trPr>
        <w:tc>
          <w:tcPr>
            <w:tcW w:w="1980" w:type="dxa"/>
            <w:vMerge/>
            <w:vAlign w:val="center"/>
            <w:hideMark/>
          </w:tcPr>
          <w:p w14:paraId="0E950C40"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070399B1"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302BD5BF"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4.1.2 Company has publicly disclosed progress towards its Scope 1 &amp; 2 carbon neutrality target</w:t>
            </w:r>
          </w:p>
        </w:tc>
        <w:tc>
          <w:tcPr>
            <w:tcW w:w="912" w:type="dxa"/>
            <w:vAlign w:val="center"/>
            <w:hideMark/>
          </w:tcPr>
          <w:p w14:paraId="1CB3CDF1"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59895E94" w14:textId="77777777" w:rsidTr="00284E18">
        <w:trPr>
          <w:trHeight w:val="20"/>
        </w:trPr>
        <w:tc>
          <w:tcPr>
            <w:tcW w:w="1980" w:type="dxa"/>
            <w:vMerge/>
            <w:vAlign w:val="center"/>
            <w:hideMark/>
          </w:tcPr>
          <w:p w14:paraId="7551E057"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61186D7A"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012CD58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4.1.3 Company has publicly disclosed progress towards its renewable energy target</w:t>
            </w:r>
          </w:p>
        </w:tc>
        <w:tc>
          <w:tcPr>
            <w:tcW w:w="912" w:type="dxa"/>
            <w:vAlign w:val="center"/>
            <w:hideMark/>
          </w:tcPr>
          <w:p w14:paraId="3008B80C"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56823EF1" w14:textId="77777777" w:rsidTr="00284E18">
        <w:trPr>
          <w:trHeight w:val="20"/>
        </w:trPr>
        <w:tc>
          <w:tcPr>
            <w:tcW w:w="1980" w:type="dxa"/>
            <w:vMerge/>
            <w:vAlign w:val="center"/>
            <w:hideMark/>
          </w:tcPr>
          <w:p w14:paraId="05FE3E48"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restart"/>
            <w:vAlign w:val="center"/>
            <w:hideMark/>
          </w:tcPr>
          <w:p w14:paraId="05A7F83F" w14:textId="532D1B9B"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4.2 Progress on Scope 3 Climate Targets (8</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17EB432F"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4.2.1 Company has publicly disclosed progress towards its Scope 3 emissions reduction targets</w:t>
            </w:r>
          </w:p>
        </w:tc>
        <w:tc>
          <w:tcPr>
            <w:tcW w:w="912" w:type="dxa"/>
            <w:vAlign w:val="center"/>
            <w:hideMark/>
          </w:tcPr>
          <w:p w14:paraId="377D21B0"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w:t>
            </w:r>
          </w:p>
        </w:tc>
      </w:tr>
      <w:tr w:rsidR="00284E18" w:rsidRPr="00B254A0" w14:paraId="29EF4C0A" w14:textId="77777777" w:rsidTr="00284E18">
        <w:trPr>
          <w:trHeight w:val="20"/>
        </w:trPr>
        <w:tc>
          <w:tcPr>
            <w:tcW w:w="1980" w:type="dxa"/>
            <w:vMerge/>
            <w:vAlign w:val="center"/>
            <w:hideMark/>
          </w:tcPr>
          <w:p w14:paraId="5DB593DE"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19F69034"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306EB97"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4.2.2 Company has publicly disclosed progress on emission reduction targets or low-carbon procurement targets set for steel, aluminum, and battery raw materials</w:t>
            </w:r>
          </w:p>
        </w:tc>
        <w:tc>
          <w:tcPr>
            <w:tcW w:w="912" w:type="dxa"/>
            <w:vAlign w:val="center"/>
            <w:hideMark/>
          </w:tcPr>
          <w:p w14:paraId="5B88CB62"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6A0F8D20" w14:textId="77777777" w:rsidTr="00284E18">
        <w:trPr>
          <w:trHeight w:val="20"/>
        </w:trPr>
        <w:tc>
          <w:tcPr>
            <w:tcW w:w="1980" w:type="dxa"/>
            <w:vMerge/>
            <w:vAlign w:val="center"/>
            <w:hideMark/>
          </w:tcPr>
          <w:p w14:paraId="5C44E283"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59B2B559"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37E3F78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4.2.3 Company has publicly disclosed progress towards its Scope 3 carbon neutrality target</w:t>
            </w:r>
          </w:p>
        </w:tc>
        <w:tc>
          <w:tcPr>
            <w:tcW w:w="912" w:type="dxa"/>
            <w:vAlign w:val="center"/>
            <w:hideMark/>
          </w:tcPr>
          <w:p w14:paraId="3F9C4BAA"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5543F47A" w14:textId="77777777" w:rsidTr="00284E18">
        <w:trPr>
          <w:trHeight w:val="20"/>
        </w:trPr>
        <w:tc>
          <w:tcPr>
            <w:tcW w:w="1980" w:type="dxa"/>
            <w:vMerge/>
            <w:vAlign w:val="center"/>
            <w:hideMark/>
          </w:tcPr>
          <w:p w14:paraId="71A5F2B1"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065C69FD"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25AC1C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4.2.4 Company tracks its suppliers’ climate target setting progress</w:t>
            </w:r>
          </w:p>
        </w:tc>
        <w:tc>
          <w:tcPr>
            <w:tcW w:w="912" w:type="dxa"/>
            <w:vAlign w:val="center"/>
            <w:hideMark/>
          </w:tcPr>
          <w:p w14:paraId="0EC922AD"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61614524" w14:textId="77777777" w:rsidTr="00284E18">
        <w:trPr>
          <w:trHeight w:val="20"/>
        </w:trPr>
        <w:tc>
          <w:tcPr>
            <w:tcW w:w="1980" w:type="dxa"/>
            <w:vMerge w:val="restart"/>
            <w:vAlign w:val="center"/>
            <w:hideMark/>
          </w:tcPr>
          <w:p w14:paraId="2B06DDEA" w14:textId="48B715B8"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 Climate Action (38</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1984" w:type="dxa"/>
            <w:vMerge w:val="restart"/>
            <w:vAlign w:val="center"/>
            <w:hideMark/>
          </w:tcPr>
          <w:p w14:paraId="417C1B92" w14:textId="0488F223"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5.1 Decarbonization in Operations (13</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513A8768"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5.1.1 Company has implemented non-fossil energy use and/or green electricity procurement and disclosed associated emission reductions</w:t>
            </w:r>
          </w:p>
        </w:tc>
        <w:tc>
          <w:tcPr>
            <w:tcW w:w="912" w:type="dxa"/>
            <w:vAlign w:val="center"/>
            <w:hideMark/>
          </w:tcPr>
          <w:p w14:paraId="4D6972AD"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w:t>
            </w:r>
          </w:p>
        </w:tc>
      </w:tr>
      <w:tr w:rsidR="00284E18" w:rsidRPr="00B254A0" w14:paraId="60C4A166" w14:textId="77777777" w:rsidTr="00284E18">
        <w:trPr>
          <w:trHeight w:val="20"/>
        </w:trPr>
        <w:tc>
          <w:tcPr>
            <w:tcW w:w="1980" w:type="dxa"/>
            <w:vMerge/>
            <w:vAlign w:val="center"/>
            <w:hideMark/>
          </w:tcPr>
          <w:p w14:paraId="6BA65E4D"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687CA336"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108E3665"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5.1.2 Company has implemented energy monitoring and management programs</w:t>
            </w:r>
          </w:p>
        </w:tc>
        <w:tc>
          <w:tcPr>
            <w:tcW w:w="912" w:type="dxa"/>
            <w:vAlign w:val="center"/>
            <w:hideMark/>
          </w:tcPr>
          <w:p w14:paraId="3AC98A1F"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033FA798" w14:textId="77777777" w:rsidTr="00284E18">
        <w:trPr>
          <w:trHeight w:val="20"/>
        </w:trPr>
        <w:tc>
          <w:tcPr>
            <w:tcW w:w="1980" w:type="dxa"/>
            <w:vMerge/>
            <w:vAlign w:val="center"/>
            <w:hideMark/>
          </w:tcPr>
          <w:p w14:paraId="7270B399"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68A6E3D9"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657FF1FE"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5.1.3 Company has implemented energy efficiency improvement projects and disclosed associated emission reductions</w:t>
            </w:r>
          </w:p>
        </w:tc>
        <w:tc>
          <w:tcPr>
            <w:tcW w:w="912" w:type="dxa"/>
            <w:vAlign w:val="center"/>
            <w:hideMark/>
          </w:tcPr>
          <w:p w14:paraId="78738845"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w:t>
            </w:r>
          </w:p>
        </w:tc>
      </w:tr>
      <w:tr w:rsidR="00284E18" w:rsidRPr="00B254A0" w14:paraId="1C93F154" w14:textId="77777777" w:rsidTr="00284E18">
        <w:trPr>
          <w:trHeight w:val="20"/>
        </w:trPr>
        <w:tc>
          <w:tcPr>
            <w:tcW w:w="1980" w:type="dxa"/>
            <w:vMerge/>
            <w:vAlign w:val="center"/>
            <w:hideMark/>
          </w:tcPr>
          <w:p w14:paraId="3C0D34AE"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61AAD579"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1CC60C4"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5.1.4 Company has incorporated emission reduction into the product design process and disclosed emission reductions potential</w:t>
            </w:r>
          </w:p>
        </w:tc>
        <w:tc>
          <w:tcPr>
            <w:tcW w:w="912" w:type="dxa"/>
            <w:vAlign w:val="center"/>
            <w:hideMark/>
          </w:tcPr>
          <w:p w14:paraId="48A928ED"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134237DD" w14:textId="77777777" w:rsidTr="00284E18">
        <w:trPr>
          <w:trHeight w:val="20"/>
        </w:trPr>
        <w:tc>
          <w:tcPr>
            <w:tcW w:w="1980" w:type="dxa"/>
            <w:vMerge/>
            <w:vAlign w:val="center"/>
            <w:hideMark/>
          </w:tcPr>
          <w:p w14:paraId="729DE633"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2E9525B2"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AD3D82F"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5.1.5 Company has implemented other emission reduction projects and disclosed associated emission reductions</w:t>
            </w:r>
          </w:p>
        </w:tc>
        <w:tc>
          <w:tcPr>
            <w:tcW w:w="912" w:type="dxa"/>
            <w:vAlign w:val="center"/>
            <w:hideMark/>
          </w:tcPr>
          <w:p w14:paraId="1C195799"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0EE25A06" w14:textId="77777777" w:rsidTr="00284E18">
        <w:trPr>
          <w:trHeight w:val="20"/>
        </w:trPr>
        <w:tc>
          <w:tcPr>
            <w:tcW w:w="1980" w:type="dxa"/>
            <w:vMerge/>
            <w:vAlign w:val="center"/>
            <w:hideMark/>
          </w:tcPr>
          <w:p w14:paraId="6E65E45C"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55F69DC6"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10F949C" w14:textId="3F6A969C"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 xml:space="preserve">5.1.6 </w:t>
            </w:r>
            <w:r w:rsidR="00B67C85">
              <w:rPr>
                <w:rFonts w:ascii="Microsoft YaHei UI" w:eastAsia="Microsoft YaHei UI" w:hAnsi="Microsoft YaHei UI" w:hint="eastAsia"/>
                <w:color w:val="000000" w:themeColor="text1"/>
                <w:sz w:val="18"/>
                <w:szCs w:val="18"/>
              </w:rPr>
              <w:t>Company</w:t>
            </w:r>
            <w:r w:rsidR="00B67C85" w:rsidRPr="00B254A0">
              <w:rPr>
                <w:rFonts w:ascii="Microsoft YaHei UI" w:eastAsia="Microsoft YaHei UI" w:hAnsi="Microsoft YaHei UI"/>
                <w:color w:val="000000" w:themeColor="text1"/>
                <w:sz w:val="18"/>
                <w:szCs w:val="18"/>
              </w:rPr>
              <w:t xml:space="preserve"> </w:t>
            </w:r>
            <w:r w:rsidRPr="00B254A0">
              <w:rPr>
                <w:rFonts w:ascii="Microsoft YaHei UI" w:eastAsia="Microsoft YaHei UI" w:hAnsi="Microsoft YaHei UI"/>
                <w:color w:val="000000" w:themeColor="text1"/>
                <w:sz w:val="18"/>
                <w:szCs w:val="18"/>
              </w:rPr>
              <w:t>has partially offset carbon emissions through voluntary carbon market mechanisms and disclose</w:t>
            </w:r>
            <w:r w:rsidR="00B67C85">
              <w:rPr>
                <w:rFonts w:ascii="Microsoft YaHei UI" w:eastAsia="Microsoft YaHei UI" w:hAnsi="Microsoft YaHei UI" w:hint="eastAsia"/>
                <w:color w:val="000000" w:themeColor="text1"/>
                <w:sz w:val="18"/>
                <w:szCs w:val="18"/>
              </w:rPr>
              <w:t>d</w:t>
            </w:r>
            <w:r w:rsidRPr="00B254A0">
              <w:rPr>
                <w:rFonts w:ascii="Microsoft YaHei UI" w:eastAsia="Microsoft YaHei UI" w:hAnsi="Microsoft YaHei UI"/>
                <w:color w:val="000000" w:themeColor="text1"/>
                <w:sz w:val="18"/>
                <w:szCs w:val="18"/>
              </w:rPr>
              <w:t xml:space="preserve"> the offset volume</w:t>
            </w:r>
          </w:p>
        </w:tc>
        <w:tc>
          <w:tcPr>
            <w:tcW w:w="912" w:type="dxa"/>
            <w:vAlign w:val="center"/>
            <w:hideMark/>
          </w:tcPr>
          <w:p w14:paraId="7DC52326"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422D35F1" w14:textId="77777777" w:rsidTr="00284E18">
        <w:trPr>
          <w:trHeight w:val="20"/>
        </w:trPr>
        <w:tc>
          <w:tcPr>
            <w:tcW w:w="1980" w:type="dxa"/>
            <w:vMerge/>
            <w:vAlign w:val="center"/>
            <w:hideMark/>
          </w:tcPr>
          <w:p w14:paraId="1CA45D57"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restart"/>
            <w:vAlign w:val="center"/>
            <w:hideMark/>
          </w:tcPr>
          <w:p w14:paraId="689D9F2E" w14:textId="724003E5"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5.2 Affiliated Company Engagement (6</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01F099FB"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5.2.1 Automobile assembly plants, joint ventures and other affiliates have measured and publicly disclosed their carbon emissions at the facility level</w:t>
            </w:r>
          </w:p>
        </w:tc>
        <w:tc>
          <w:tcPr>
            <w:tcW w:w="912" w:type="dxa"/>
            <w:vAlign w:val="center"/>
            <w:hideMark/>
          </w:tcPr>
          <w:p w14:paraId="064FE5BD"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w:t>
            </w:r>
          </w:p>
        </w:tc>
      </w:tr>
      <w:tr w:rsidR="00284E18" w:rsidRPr="00B254A0" w14:paraId="35F56FB0" w14:textId="77777777" w:rsidTr="00284E18">
        <w:trPr>
          <w:trHeight w:val="20"/>
        </w:trPr>
        <w:tc>
          <w:tcPr>
            <w:tcW w:w="1980" w:type="dxa"/>
            <w:vMerge/>
            <w:vAlign w:val="center"/>
            <w:hideMark/>
          </w:tcPr>
          <w:p w14:paraId="5B7B2474"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1E325A66"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0CC2AFE2" w14:textId="661D0A3E"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5.2.2 Automobile assembly plants, joint ventures and other affiliates have set carbon targets, tracked and publicly disclosed reduction progress at the facility level, or obtain</w:t>
            </w:r>
            <w:r w:rsidR="00B67C85">
              <w:rPr>
                <w:rFonts w:ascii="Microsoft YaHei UI" w:eastAsia="Microsoft YaHei UI" w:hAnsi="Microsoft YaHei UI" w:hint="eastAsia"/>
                <w:color w:val="000000" w:themeColor="text1"/>
                <w:sz w:val="18"/>
                <w:szCs w:val="18"/>
              </w:rPr>
              <w:t>ed</w:t>
            </w:r>
            <w:r w:rsidRPr="00B254A0">
              <w:rPr>
                <w:rFonts w:ascii="Microsoft YaHei UI" w:eastAsia="Microsoft YaHei UI" w:hAnsi="Microsoft YaHei UI"/>
                <w:color w:val="000000" w:themeColor="text1"/>
                <w:sz w:val="18"/>
                <w:szCs w:val="18"/>
              </w:rPr>
              <w:t xml:space="preserve"> zero-carbon factory certification</w:t>
            </w:r>
          </w:p>
        </w:tc>
        <w:tc>
          <w:tcPr>
            <w:tcW w:w="912" w:type="dxa"/>
            <w:vAlign w:val="center"/>
            <w:hideMark/>
          </w:tcPr>
          <w:p w14:paraId="23E226C1"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3</w:t>
            </w:r>
          </w:p>
        </w:tc>
      </w:tr>
      <w:tr w:rsidR="00284E18" w:rsidRPr="00B254A0" w14:paraId="4CDE9F2D" w14:textId="77777777" w:rsidTr="00284E18">
        <w:trPr>
          <w:trHeight w:val="20"/>
        </w:trPr>
        <w:tc>
          <w:tcPr>
            <w:tcW w:w="1980" w:type="dxa"/>
            <w:vMerge/>
            <w:vAlign w:val="center"/>
            <w:hideMark/>
          </w:tcPr>
          <w:p w14:paraId="23CA87E9"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restart"/>
            <w:vAlign w:val="center"/>
            <w:hideMark/>
          </w:tcPr>
          <w:p w14:paraId="2BCCA85F" w14:textId="1CE24C86"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5.3 Decarbonization in Value Chain (10</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65641D3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5.3.1 Company has required automotive raw material suppliers to conduct corporate greenhouse gas and energy management</w:t>
            </w:r>
          </w:p>
        </w:tc>
        <w:tc>
          <w:tcPr>
            <w:tcW w:w="912" w:type="dxa"/>
            <w:vAlign w:val="center"/>
            <w:hideMark/>
          </w:tcPr>
          <w:p w14:paraId="4CC2164E"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41994EF1" w14:textId="77777777" w:rsidTr="00284E18">
        <w:trPr>
          <w:trHeight w:val="20"/>
        </w:trPr>
        <w:tc>
          <w:tcPr>
            <w:tcW w:w="1980" w:type="dxa"/>
            <w:vMerge/>
            <w:vAlign w:val="center"/>
            <w:hideMark/>
          </w:tcPr>
          <w:p w14:paraId="138D7052"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341AADA4"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E843AB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5.3.2 Company has required suppliers of steel and/or aluminum to implement emissions reduction measures and disclose their emissions reduction performance</w:t>
            </w:r>
          </w:p>
        </w:tc>
        <w:tc>
          <w:tcPr>
            <w:tcW w:w="912" w:type="dxa"/>
            <w:vAlign w:val="center"/>
            <w:hideMark/>
          </w:tcPr>
          <w:p w14:paraId="31CDDCB8"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4</w:t>
            </w:r>
          </w:p>
        </w:tc>
      </w:tr>
      <w:tr w:rsidR="00284E18" w:rsidRPr="00B254A0" w14:paraId="2777992E" w14:textId="77777777" w:rsidTr="00284E18">
        <w:trPr>
          <w:trHeight w:val="20"/>
        </w:trPr>
        <w:tc>
          <w:tcPr>
            <w:tcW w:w="1980" w:type="dxa"/>
            <w:vMerge/>
            <w:vAlign w:val="center"/>
            <w:hideMark/>
          </w:tcPr>
          <w:p w14:paraId="3176540F"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23839B7E"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0AF0F4A9"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5.3.3 Company has required suppliers of batteries and other materials to implement emissions reduction measures and disclose their emissions reduction performance</w:t>
            </w:r>
          </w:p>
        </w:tc>
        <w:tc>
          <w:tcPr>
            <w:tcW w:w="912" w:type="dxa"/>
            <w:vAlign w:val="center"/>
            <w:hideMark/>
          </w:tcPr>
          <w:p w14:paraId="58E6C099"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2C8B94D1" w14:textId="77777777" w:rsidTr="00284E18">
        <w:trPr>
          <w:trHeight w:val="20"/>
        </w:trPr>
        <w:tc>
          <w:tcPr>
            <w:tcW w:w="1980" w:type="dxa"/>
            <w:vMerge/>
            <w:vAlign w:val="center"/>
            <w:hideMark/>
          </w:tcPr>
          <w:p w14:paraId="323C4D42"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4E6CA4C2"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38F980C4"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5.3.4 Company has launched emission reduction initiatives with logistics suppliers, and disclosed associated emission reductions</w:t>
            </w:r>
          </w:p>
        </w:tc>
        <w:tc>
          <w:tcPr>
            <w:tcW w:w="912" w:type="dxa"/>
            <w:vAlign w:val="center"/>
            <w:hideMark/>
          </w:tcPr>
          <w:p w14:paraId="56CDB452"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6C4E5903" w14:textId="77777777" w:rsidTr="00284E18">
        <w:trPr>
          <w:trHeight w:val="20"/>
        </w:trPr>
        <w:tc>
          <w:tcPr>
            <w:tcW w:w="1980" w:type="dxa"/>
            <w:vMerge/>
            <w:vAlign w:val="center"/>
            <w:hideMark/>
          </w:tcPr>
          <w:p w14:paraId="01D8E667"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790BB40A"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5106CD6F"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5.3.5 Company has established (or coordinated with customers to establish) recycling mechanisms for used automobiles, used batteries, or other components</w:t>
            </w:r>
          </w:p>
        </w:tc>
        <w:tc>
          <w:tcPr>
            <w:tcW w:w="912" w:type="dxa"/>
            <w:vAlign w:val="center"/>
            <w:hideMark/>
          </w:tcPr>
          <w:p w14:paraId="0D03F804"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0.5</w:t>
            </w:r>
          </w:p>
        </w:tc>
      </w:tr>
      <w:tr w:rsidR="00284E18" w:rsidRPr="00B254A0" w14:paraId="479AEF7E" w14:textId="77777777" w:rsidTr="00284E18">
        <w:trPr>
          <w:trHeight w:val="20"/>
        </w:trPr>
        <w:tc>
          <w:tcPr>
            <w:tcW w:w="1980" w:type="dxa"/>
            <w:vMerge/>
            <w:vAlign w:val="center"/>
            <w:hideMark/>
          </w:tcPr>
          <w:p w14:paraId="14B9C4B3"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35BBBD34"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E5633E0"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5.3.6 Company has conducted emission reduction projects targeting other emission sources along the value chain</w:t>
            </w:r>
          </w:p>
        </w:tc>
        <w:tc>
          <w:tcPr>
            <w:tcW w:w="912" w:type="dxa"/>
            <w:vAlign w:val="center"/>
            <w:hideMark/>
          </w:tcPr>
          <w:p w14:paraId="4C111D39"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0.5</w:t>
            </w:r>
          </w:p>
        </w:tc>
      </w:tr>
      <w:tr w:rsidR="00284E18" w:rsidRPr="00B254A0" w14:paraId="49C77B42" w14:textId="77777777" w:rsidTr="00284E18">
        <w:trPr>
          <w:trHeight w:val="20"/>
        </w:trPr>
        <w:tc>
          <w:tcPr>
            <w:tcW w:w="1980" w:type="dxa"/>
            <w:vMerge/>
            <w:vAlign w:val="center"/>
            <w:hideMark/>
          </w:tcPr>
          <w:p w14:paraId="1DE2A22C"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1A742CF5"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5ED649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5.3.7 Company has published best practice on steel, aluminum, and battery materials supply chain carbon management annually</w:t>
            </w:r>
          </w:p>
        </w:tc>
        <w:tc>
          <w:tcPr>
            <w:tcW w:w="912" w:type="dxa"/>
            <w:vAlign w:val="center"/>
            <w:hideMark/>
          </w:tcPr>
          <w:p w14:paraId="2F397197"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2D67EA53" w14:textId="77777777" w:rsidTr="00284E18">
        <w:trPr>
          <w:trHeight w:val="20"/>
        </w:trPr>
        <w:tc>
          <w:tcPr>
            <w:tcW w:w="1980" w:type="dxa"/>
            <w:vMerge/>
            <w:vAlign w:val="center"/>
            <w:hideMark/>
          </w:tcPr>
          <w:p w14:paraId="04D05ECF"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restart"/>
            <w:vAlign w:val="center"/>
            <w:hideMark/>
          </w:tcPr>
          <w:p w14:paraId="48D1D7C8" w14:textId="309E6C8C"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5.4 Supplier Engagement (9</w:t>
            </w:r>
            <w:r w:rsidRPr="00B254A0">
              <w:rPr>
                <w:rFonts w:ascii="Microsoft YaHei UI" w:eastAsia="Microsoft YaHei UI" w:hAnsi="Microsoft YaHei UI" w:hint="eastAsia"/>
                <w:color w:val="000000" w:themeColor="text1"/>
                <w:sz w:val="18"/>
                <w:szCs w:val="18"/>
              </w:rPr>
              <w:t>%</w:t>
            </w:r>
            <w:r w:rsidRPr="00B254A0">
              <w:rPr>
                <w:rFonts w:ascii="Microsoft YaHei UI" w:eastAsia="Microsoft YaHei UI" w:hAnsi="Microsoft YaHei UI"/>
                <w:color w:val="000000" w:themeColor="text1"/>
                <w:sz w:val="18"/>
                <w:szCs w:val="18"/>
              </w:rPr>
              <w:t>)</w:t>
            </w:r>
          </w:p>
        </w:tc>
        <w:tc>
          <w:tcPr>
            <w:tcW w:w="9072" w:type="dxa"/>
            <w:vAlign w:val="center"/>
            <w:hideMark/>
          </w:tcPr>
          <w:p w14:paraId="354FF06B"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5.4.1 Steel and aluminum suppliers have measured and publicly disclosed facility-level carbon emissions</w:t>
            </w:r>
          </w:p>
        </w:tc>
        <w:tc>
          <w:tcPr>
            <w:tcW w:w="912" w:type="dxa"/>
            <w:vAlign w:val="center"/>
            <w:hideMark/>
          </w:tcPr>
          <w:p w14:paraId="56C70DC4"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69AC31D3" w14:textId="77777777" w:rsidTr="00284E18">
        <w:trPr>
          <w:trHeight w:val="20"/>
        </w:trPr>
        <w:tc>
          <w:tcPr>
            <w:tcW w:w="1980" w:type="dxa"/>
            <w:vMerge/>
            <w:vAlign w:val="center"/>
            <w:hideMark/>
          </w:tcPr>
          <w:p w14:paraId="06954EFE"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29041BC6"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1DAA48EF"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5.4.2 Steel and aluminum suppliers have set facility-level carbon targets, tracked and publicly disclosed reduction progress</w:t>
            </w:r>
          </w:p>
        </w:tc>
        <w:tc>
          <w:tcPr>
            <w:tcW w:w="912" w:type="dxa"/>
            <w:vAlign w:val="center"/>
            <w:hideMark/>
          </w:tcPr>
          <w:p w14:paraId="28BCAFAC"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74E532B6" w14:textId="77777777" w:rsidTr="00284E18">
        <w:trPr>
          <w:trHeight w:val="20"/>
        </w:trPr>
        <w:tc>
          <w:tcPr>
            <w:tcW w:w="1980" w:type="dxa"/>
            <w:vMerge/>
            <w:vAlign w:val="center"/>
            <w:hideMark/>
          </w:tcPr>
          <w:p w14:paraId="0E004B6A"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3C59DA3B"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5E15D02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5.4.3 Battery and battery material suppliers have measured and publicly disclosed facility-level carbon emissions</w:t>
            </w:r>
          </w:p>
        </w:tc>
        <w:tc>
          <w:tcPr>
            <w:tcW w:w="912" w:type="dxa"/>
            <w:vAlign w:val="center"/>
            <w:hideMark/>
          </w:tcPr>
          <w:p w14:paraId="05DFC715"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2</w:t>
            </w:r>
          </w:p>
        </w:tc>
      </w:tr>
      <w:tr w:rsidR="00284E18" w:rsidRPr="00B254A0" w14:paraId="6A8D7CF5" w14:textId="77777777" w:rsidTr="00284E18">
        <w:trPr>
          <w:trHeight w:val="20"/>
        </w:trPr>
        <w:tc>
          <w:tcPr>
            <w:tcW w:w="1980" w:type="dxa"/>
            <w:vMerge/>
            <w:vAlign w:val="center"/>
            <w:hideMark/>
          </w:tcPr>
          <w:p w14:paraId="17D77844"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402D7DD4"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C40FF8A"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5.4.4 Battery and battery material suppliers have set facility-level carbon targets, tracked and publicly disclosed reduction progress</w:t>
            </w:r>
          </w:p>
        </w:tc>
        <w:tc>
          <w:tcPr>
            <w:tcW w:w="912" w:type="dxa"/>
            <w:vAlign w:val="center"/>
            <w:hideMark/>
          </w:tcPr>
          <w:p w14:paraId="54981C96"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01694CC8" w14:textId="77777777" w:rsidTr="00284E18">
        <w:trPr>
          <w:trHeight w:val="20"/>
        </w:trPr>
        <w:tc>
          <w:tcPr>
            <w:tcW w:w="1980" w:type="dxa"/>
            <w:vMerge/>
            <w:vAlign w:val="center"/>
            <w:hideMark/>
          </w:tcPr>
          <w:p w14:paraId="50FFB45F"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7CB77387"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24D80C23"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5.4.5 Other material or component suppliers have measured and publicly disclosed facility-level carbon emissions</w:t>
            </w:r>
          </w:p>
        </w:tc>
        <w:tc>
          <w:tcPr>
            <w:tcW w:w="912" w:type="dxa"/>
            <w:vAlign w:val="center"/>
            <w:hideMark/>
          </w:tcPr>
          <w:p w14:paraId="0F566B91"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561900EC" w14:textId="77777777" w:rsidTr="00284E18">
        <w:trPr>
          <w:trHeight w:val="20"/>
        </w:trPr>
        <w:tc>
          <w:tcPr>
            <w:tcW w:w="1980" w:type="dxa"/>
            <w:vMerge/>
            <w:vAlign w:val="center"/>
            <w:hideMark/>
          </w:tcPr>
          <w:p w14:paraId="3FB3437D"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5B30DA0B"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7C29AFCF" w14:textId="77777777"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5.4.6 Other material or component suppliers have set facility-level carbon targets, tracked and publicly disclosed reduction progress</w:t>
            </w:r>
          </w:p>
        </w:tc>
        <w:tc>
          <w:tcPr>
            <w:tcW w:w="912" w:type="dxa"/>
            <w:vAlign w:val="center"/>
            <w:hideMark/>
          </w:tcPr>
          <w:p w14:paraId="664A93E7"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r w:rsidR="00284E18" w:rsidRPr="00B254A0" w14:paraId="75FBD3F1" w14:textId="77777777" w:rsidTr="00284E18">
        <w:trPr>
          <w:trHeight w:val="20"/>
        </w:trPr>
        <w:tc>
          <w:tcPr>
            <w:tcW w:w="1980" w:type="dxa"/>
            <w:vMerge/>
            <w:vAlign w:val="center"/>
            <w:hideMark/>
          </w:tcPr>
          <w:p w14:paraId="18454F2E"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1984" w:type="dxa"/>
            <w:vMerge/>
            <w:vAlign w:val="center"/>
            <w:hideMark/>
          </w:tcPr>
          <w:p w14:paraId="35FB4B56" w14:textId="77777777" w:rsidR="00284E18" w:rsidRPr="00B254A0" w:rsidRDefault="00284E18" w:rsidP="00284E18">
            <w:pPr>
              <w:jc w:val="center"/>
              <w:rPr>
                <w:rFonts w:ascii="Microsoft YaHei UI" w:eastAsia="Microsoft YaHei UI" w:hAnsi="Microsoft YaHei UI"/>
                <w:color w:val="000000" w:themeColor="text1"/>
                <w:sz w:val="18"/>
                <w:szCs w:val="18"/>
              </w:rPr>
            </w:pPr>
          </w:p>
        </w:tc>
        <w:tc>
          <w:tcPr>
            <w:tcW w:w="9072" w:type="dxa"/>
            <w:vAlign w:val="center"/>
            <w:hideMark/>
          </w:tcPr>
          <w:p w14:paraId="048601DB" w14:textId="618D4906" w:rsidR="00284E18" w:rsidRPr="00B254A0" w:rsidRDefault="00284E18" w:rsidP="00284E18">
            <w:pP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 xml:space="preserve">5.4.7 Company employs the Blue EcoChain or other automated methods to empower upstream suppliers to manage supply chain carbon emissions </w:t>
            </w:r>
            <w:r w:rsidRPr="00B254A0">
              <w:rPr>
                <w:rFonts w:ascii="Microsoft YaHei UI" w:eastAsia="Microsoft YaHei UI" w:hAnsi="Microsoft YaHei UI"/>
                <w:color w:val="000000" w:themeColor="text1"/>
                <w:sz w:val="18"/>
                <w:szCs w:val="18"/>
              </w:rPr>
              <w:br/>
              <w:t>OR Require steel and/or aluminum suppliers to publicly disclose product carbon footprint</w:t>
            </w:r>
          </w:p>
        </w:tc>
        <w:tc>
          <w:tcPr>
            <w:tcW w:w="912" w:type="dxa"/>
            <w:noWrap/>
            <w:vAlign w:val="center"/>
            <w:hideMark/>
          </w:tcPr>
          <w:p w14:paraId="2401D958" w14:textId="77777777" w:rsidR="00284E18" w:rsidRPr="00B254A0" w:rsidRDefault="00284E18" w:rsidP="00284E18">
            <w:pPr>
              <w:jc w:val="center"/>
              <w:rPr>
                <w:rFonts w:ascii="Microsoft YaHei UI" w:eastAsia="Microsoft YaHei UI" w:hAnsi="Microsoft YaHei UI"/>
                <w:color w:val="000000" w:themeColor="text1"/>
                <w:sz w:val="18"/>
                <w:szCs w:val="18"/>
              </w:rPr>
            </w:pPr>
            <w:r w:rsidRPr="00B254A0">
              <w:rPr>
                <w:rFonts w:ascii="Microsoft YaHei UI" w:eastAsia="Microsoft YaHei UI" w:hAnsi="Microsoft YaHei UI"/>
                <w:color w:val="000000" w:themeColor="text1"/>
                <w:sz w:val="18"/>
                <w:szCs w:val="18"/>
              </w:rPr>
              <w:t>1</w:t>
            </w:r>
          </w:p>
        </w:tc>
      </w:tr>
    </w:tbl>
    <w:p w14:paraId="68775ED0" w14:textId="77777777" w:rsidR="00EE1C12" w:rsidRPr="007F5F9B" w:rsidRDefault="00EE1C12">
      <w:pPr>
        <w:rPr>
          <w:rFonts w:ascii="Microsoft YaHei UI" w:eastAsia="Microsoft YaHei UI" w:hAnsi="Microsoft YaHei UI"/>
          <w:b/>
          <w:bCs/>
          <w:color w:val="000000" w:themeColor="text1"/>
          <w:sz w:val="22"/>
          <w:szCs w:val="22"/>
        </w:rPr>
        <w:sectPr w:rsidR="00EE1C12" w:rsidRPr="007F5F9B" w:rsidSect="00702A3E">
          <w:pgSz w:w="16838" w:h="11906" w:orient="landscape"/>
          <w:pgMar w:top="1800" w:right="1440" w:bottom="1800" w:left="1440" w:header="851" w:footer="992" w:gutter="0"/>
          <w:cols w:space="425"/>
          <w:docGrid w:type="lines" w:linePitch="312"/>
        </w:sectPr>
      </w:pPr>
    </w:p>
    <w:p w14:paraId="2DB7ADD3" w14:textId="7720C4DF" w:rsidR="00AF3946" w:rsidRPr="00AF3946" w:rsidRDefault="00943806" w:rsidP="00AF3946">
      <w:pPr>
        <w:spacing w:before="103" w:line="194" w:lineRule="auto"/>
        <w:outlineLvl w:val="0"/>
        <w:rPr>
          <w:rFonts w:ascii="Microsoft YaHei UI" w:eastAsia="Microsoft YaHei UI" w:hAnsi="Microsoft YaHei UI" w:cs="Microsoft YaHei"/>
          <w:b/>
          <w:bCs/>
          <w:spacing w:val="-2"/>
          <w:sz w:val="32"/>
          <w:szCs w:val="32"/>
        </w:rPr>
      </w:pPr>
      <w:r>
        <w:rPr>
          <w:rFonts w:ascii="Microsoft YaHei UI" w:eastAsia="Microsoft YaHei UI" w:hAnsi="Microsoft YaHei UI" w:cs="Microsoft YaHei" w:hint="eastAsia"/>
          <w:b/>
          <w:bCs/>
          <w:spacing w:val="-2"/>
          <w:sz w:val="32"/>
          <w:szCs w:val="32"/>
        </w:rPr>
        <w:lastRenderedPageBreak/>
        <w:t>分数</w:t>
      </w:r>
      <w:r w:rsidR="00AF3946" w:rsidRPr="00AF3946">
        <w:rPr>
          <w:rFonts w:ascii="Microsoft YaHei UI" w:eastAsia="Microsoft YaHei UI" w:hAnsi="Microsoft YaHei UI" w:cs="Microsoft YaHei" w:hint="eastAsia"/>
          <w:b/>
          <w:bCs/>
          <w:spacing w:val="-2"/>
          <w:sz w:val="32"/>
          <w:szCs w:val="32"/>
        </w:rPr>
        <w:t>计算</w:t>
      </w:r>
      <w:r w:rsidR="00BE653B">
        <w:rPr>
          <w:rFonts w:ascii="Microsoft YaHei UI" w:eastAsia="Microsoft YaHei UI" w:hAnsi="Microsoft YaHei UI" w:cs="Microsoft YaHei"/>
          <w:b/>
          <w:bCs/>
          <w:spacing w:val="-2"/>
          <w:sz w:val="32"/>
          <w:szCs w:val="32"/>
        </w:rPr>
        <w:t xml:space="preserve"> Scor</w:t>
      </w:r>
      <w:r w:rsidR="00D107E6">
        <w:rPr>
          <w:rFonts w:ascii="Microsoft YaHei UI" w:eastAsia="Microsoft YaHei UI" w:hAnsi="Microsoft YaHei UI" w:cs="Microsoft YaHei" w:hint="eastAsia"/>
          <w:b/>
          <w:bCs/>
          <w:spacing w:val="-2"/>
          <w:sz w:val="32"/>
          <w:szCs w:val="32"/>
        </w:rPr>
        <w:t>e</w:t>
      </w:r>
      <w:r w:rsidR="00BE653B">
        <w:rPr>
          <w:rFonts w:ascii="Microsoft YaHei UI" w:eastAsia="Microsoft YaHei UI" w:hAnsi="Microsoft YaHei UI" w:cs="Microsoft YaHei"/>
          <w:b/>
          <w:bCs/>
          <w:spacing w:val="-2"/>
          <w:sz w:val="32"/>
          <w:szCs w:val="32"/>
        </w:rPr>
        <w:t xml:space="preserve"> Calculation</w:t>
      </w:r>
    </w:p>
    <w:p w14:paraId="6B330C26" w14:textId="1FCB321F" w:rsidR="00AF3946" w:rsidRPr="00431293" w:rsidRDefault="00A551DA" w:rsidP="00AF3946">
      <w:pPr>
        <w:rPr>
          <w:rFonts w:ascii="Microsoft YaHei UI" w:eastAsia="Microsoft YaHei UI" w:hAnsi="Microsoft YaHei UI"/>
          <w:color w:val="000000" w:themeColor="text1"/>
          <w:sz w:val="22"/>
          <w:szCs w:val="22"/>
        </w:rPr>
      </w:pPr>
      <w:r>
        <w:rPr>
          <w:rFonts w:ascii="Microsoft YaHei UI" w:eastAsia="Microsoft YaHei UI" w:hAnsi="Microsoft YaHei UI"/>
          <w:color w:val="000000" w:themeColor="text1"/>
          <w:sz w:val="22"/>
          <w:szCs w:val="22"/>
        </w:rPr>
        <w:t xml:space="preserve">    </w:t>
      </w:r>
      <w:r w:rsidR="009F1723" w:rsidRPr="00720FE5">
        <w:rPr>
          <w:rFonts w:ascii="Microsoft YaHei UI" w:eastAsia="Microsoft YaHei UI" w:hAnsi="Microsoft YaHei UI"/>
          <w:color w:val="000000" w:themeColor="text1"/>
          <w:sz w:val="22"/>
          <w:szCs w:val="22"/>
        </w:rPr>
        <w:t>汽车行业企业气候行动CATI指数</w:t>
      </w:r>
      <w:r w:rsidR="00AF3946" w:rsidRPr="00431293">
        <w:rPr>
          <w:rFonts w:ascii="Microsoft YaHei" w:eastAsia="Microsoft YaHei" w:hAnsi="Microsoft YaHei"/>
          <w:color w:val="000000" w:themeColor="text1"/>
          <w:sz w:val="22"/>
          <w:szCs w:val="22"/>
        </w:rPr>
        <w:t>由 5个一级指标、1</w:t>
      </w:r>
      <w:r w:rsidR="00AF3946" w:rsidRPr="00431293">
        <w:rPr>
          <w:rFonts w:ascii="Microsoft YaHei" w:eastAsia="Microsoft YaHei" w:hAnsi="Microsoft YaHei" w:hint="eastAsia"/>
          <w:color w:val="000000" w:themeColor="text1"/>
          <w:sz w:val="22"/>
          <w:szCs w:val="22"/>
        </w:rPr>
        <w:t>3</w:t>
      </w:r>
      <w:r w:rsidR="00AF3946" w:rsidRPr="00431293">
        <w:rPr>
          <w:rFonts w:ascii="Microsoft YaHei" w:eastAsia="Microsoft YaHei" w:hAnsi="Microsoft YaHei"/>
          <w:color w:val="000000" w:themeColor="text1"/>
          <w:sz w:val="22"/>
          <w:szCs w:val="22"/>
        </w:rPr>
        <w:t>个二级指标和</w:t>
      </w:r>
      <w:r>
        <w:rPr>
          <w:rFonts w:ascii="Microsoft YaHei" w:eastAsia="Microsoft YaHei" w:hAnsi="Microsoft YaHei"/>
          <w:color w:val="000000" w:themeColor="text1"/>
          <w:sz w:val="22"/>
          <w:szCs w:val="22"/>
        </w:rPr>
        <w:t>52</w:t>
      </w:r>
      <w:r w:rsidR="00AF3946" w:rsidRPr="00431293">
        <w:rPr>
          <w:rFonts w:ascii="Microsoft YaHei" w:eastAsia="Microsoft YaHei" w:hAnsi="Microsoft YaHei"/>
          <w:color w:val="000000" w:themeColor="text1"/>
          <w:sz w:val="22"/>
          <w:szCs w:val="22"/>
        </w:rPr>
        <w:t>个三级指标组成。</w:t>
      </w:r>
    </w:p>
    <w:p w14:paraId="7F6F483B" w14:textId="3246CD4E" w:rsidR="00AF3946" w:rsidRDefault="0059023B" w:rsidP="00A551DA">
      <w:pPr>
        <w:rPr>
          <w:rFonts w:ascii="Microsoft YaHei UI" w:eastAsia="Microsoft YaHei UI" w:hAnsi="Microsoft YaHei UI"/>
          <w:color w:val="000000" w:themeColor="text1"/>
          <w:sz w:val="22"/>
          <w:szCs w:val="22"/>
        </w:rPr>
      </w:pPr>
      <w:r>
        <w:rPr>
          <w:rFonts w:ascii="Microsoft YaHei" w:eastAsia="Microsoft YaHei" w:hAnsi="Microsoft YaHei"/>
          <w:b/>
          <w:bCs/>
          <w:color w:val="000000" w:themeColor="text1"/>
          <w:sz w:val="22"/>
          <w:szCs w:val="22"/>
        </w:rPr>
        <w:t xml:space="preserve">   </w:t>
      </w:r>
      <w:r w:rsidR="00561E17">
        <w:rPr>
          <w:rFonts w:ascii="Microsoft YaHei" w:eastAsia="Microsoft YaHei" w:hAnsi="Microsoft YaHei" w:hint="eastAsia"/>
          <w:b/>
          <w:bCs/>
          <w:color w:val="000000" w:themeColor="text1"/>
          <w:sz w:val="22"/>
          <w:szCs w:val="22"/>
        </w:rPr>
        <w:t xml:space="preserve"> </w:t>
      </w:r>
      <w:r w:rsidR="00AF3946" w:rsidRPr="00013EAF">
        <w:rPr>
          <w:rFonts w:ascii="Microsoft YaHei" w:eastAsia="Microsoft YaHei" w:hAnsi="Microsoft YaHei"/>
          <w:b/>
          <w:bCs/>
          <w:color w:val="000000" w:themeColor="text1"/>
          <w:sz w:val="22"/>
          <w:szCs w:val="22"/>
        </w:rPr>
        <w:t>计算公式：</w:t>
      </w:r>
      <w:r w:rsidRPr="00720FE5">
        <w:rPr>
          <w:rFonts w:ascii="Microsoft YaHei UI" w:eastAsia="Microsoft YaHei UI" w:hAnsi="Microsoft YaHei UI"/>
          <w:color w:val="000000" w:themeColor="text1"/>
          <w:sz w:val="22"/>
          <w:szCs w:val="22"/>
        </w:rPr>
        <w:t>汽车行业企业气候行动</w:t>
      </w:r>
      <w:r w:rsidR="00AF3946" w:rsidRPr="00431293">
        <w:rPr>
          <w:rFonts w:ascii="Microsoft YaHei UI" w:eastAsia="Microsoft YaHei UI" w:hAnsi="Microsoft YaHei UI" w:hint="eastAsia"/>
          <w:color w:val="000000" w:themeColor="text1"/>
          <w:sz w:val="22"/>
          <w:szCs w:val="22"/>
        </w:rPr>
        <w:t>CATI分数=</w:t>
      </w:r>
      <m:oMath>
        <m:r>
          <m:rPr>
            <m:sty m:val="bi"/>
          </m:rPr>
          <w:rPr>
            <w:rFonts w:ascii="Cambria Math" w:eastAsia="Microsoft YaHei UI" w:hAnsi="Cambria Math"/>
            <w:color w:val="000000" w:themeColor="text1"/>
            <w:sz w:val="22"/>
            <w:szCs w:val="22"/>
          </w:rPr>
          <m:t>∑</m:t>
        </m:r>
        <m:r>
          <m:rPr>
            <m:sty m:val="p"/>
          </m:rPr>
          <w:rPr>
            <w:rFonts w:ascii="Cambria Math" w:eastAsia="Microsoft YaHei UI" w:hAnsi="Cambria Math" w:hint="eastAsia"/>
            <w:color w:val="000000" w:themeColor="text1"/>
            <w:sz w:val="22"/>
            <w:szCs w:val="22"/>
          </w:rPr>
          <m:t>治理机制相关指标得分</m:t>
        </m:r>
      </m:oMath>
      <w:r w:rsidR="00AF3946" w:rsidRPr="00431293">
        <w:rPr>
          <w:rFonts w:ascii="Microsoft YaHei UI" w:eastAsia="Microsoft YaHei UI" w:hAnsi="Microsoft YaHei UI" w:hint="eastAsia"/>
          <w:color w:val="000000" w:themeColor="text1"/>
          <w:sz w:val="22"/>
          <w:szCs w:val="22"/>
        </w:rPr>
        <w:t>+产品碳足迹指标得分+</w:t>
      </w:r>
      <m:oMath>
        <m:r>
          <m:rPr>
            <m:sty m:val="bi"/>
          </m:rPr>
          <w:rPr>
            <w:rFonts w:ascii="Cambria Math" w:eastAsia="Microsoft YaHei UI" w:hAnsi="Cambria Math"/>
            <w:color w:val="000000" w:themeColor="text1"/>
            <w:sz w:val="22"/>
            <w:szCs w:val="22"/>
          </w:rPr>
          <m:t>∑</m:t>
        </m:r>
        <m:r>
          <m:rPr>
            <m:sty m:val="p"/>
          </m:rPr>
          <w:rPr>
            <w:rFonts w:ascii="Cambria Math" w:eastAsia="Microsoft YaHei UI" w:hAnsi="Cambria Math" w:hint="eastAsia"/>
            <w:color w:val="000000" w:themeColor="text1"/>
            <w:sz w:val="22"/>
            <w:szCs w:val="22"/>
          </w:rPr>
          <m:t>范围</m:t>
        </m:r>
        <m:r>
          <m:rPr>
            <m:sty m:val="p"/>
          </m:rPr>
          <w:rPr>
            <w:rFonts w:ascii="Cambria Math" w:eastAsia="Microsoft YaHei UI" w:hAnsi="Cambria Math" w:hint="eastAsia"/>
            <w:color w:val="000000" w:themeColor="text1"/>
            <w:sz w:val="22"/>
            <w:szCs w:val="22"/>
          </w:rPr>
          <m:t>1&amp;2</m:t>
        </m:r>
        <m:r>
          <m:rPr>
            <m:sty m:val="p"/>
          </m:rPr>
          <w:rPr>
            <w:rFonts w:ascii="Cambria Math" w:eastAsia="Microsoft YaHei UI" w:hAnsi="Cambria Math" w:hint="eastAsia"/>
            <w:color w:val="000000" w:themeColor="text1"/>
            <w:sz w:val="22"/>
            <w:szCs w:val="22"/>
          </w:rPr>
          <m:t>相关指标得分</m:t>
        </m:r>
        <m:r>
          <m:rPr>
            <m:sty m:val="p"/>
          </m:rPr>
          <w:rPr>
            <w:rFonts w:ascii="Cambria Math" w:eastAsia="Microsoft YaHei UI" w:hAnsi="Cambria Math" w:cs="Cambria Math"/>
            <w:color w:val="000000" w:themeColor="text1"/>
            <w:sz w:val="22"/>
            <w:szCs w:val="22"/>
          </w:rPr>
          <m:t>*</m:t>
        </m:r>
        <m:r>
          <m:rPr>
            <m:sty m:val="p"/>
          </m:rPr>
          <w:rPr>
            <w:rFonts w:ascii="Cambria Math" w:eastAsia="Microsoft YaHei UI" w:hAnsi="Cambria Math" w:hint="eastAsia"/>
            <w:color w:val="000000" w:themeColor="text1"/>
            <w:sz w:val="22"/>
            <w:szCs w:val="22"/>
          </w:rPr>
          <m:t>范围</m:t>
        </m:r>
        <m:r>
          <m:rPr>
            <m:sty m:val="p"/>
          </m:rPr>
          <w:rPr>
            <w:rFonts w:ascii="Cambria Math" w:eastAsia="Microsoft YaHei UI" w:hAnsi="Cambria Math" w:hint="eastAsia"/>
            <w:color w:val="000000" w:themeColor="text1"/>
            <w:sz w:val="22"/>
            <w:szCs w:val="22"/>
          </w:rPr>
          <m:t>1&amp;2</m:t>
        </m:r>
        <m:r>
          <m:rPr>
            <m:sty m:val="p"/>
          </m:rPr>
          <w:rPr>
            <w:rFonts w:ascii="Cambria Math" w:eastAsia="Microsoft YaHei UI" w:hAnsi="Cambria Math" w:hint="eastAsia"/>
            <w:color w:val="000000" w:themeColor="text1"/>
            <w:sz w:val="22"/>
            <w:szCs w:val="22"/>
          </w:rPr>
          <m:t>行业权重</m:t>
        </m:r>
      </m:oMath>
      <w:r w:rsidR="00AF3946" w:rsidRPr="00431293">
        <w:rPr>
          <w:rFonts w:ascii="Microsoft YaHei UI" w:eastAsia="Microsoft YaHei UI" w:hAnsi="Microsoft YaHei UI" w:hint="eastAsia"/>
          <w:color w:val="000000" w:themeColor="text1"/>
          <w:sz w:val="22"/>
          <w:szCs w:val="22"/>
        </w:rPr>
        <w:t>+</w:t>
      </w:r>
      <m:oMath>
        <m:r>
          <m:rPr>
            <m:sty m:val="bi"/>
          </m:rPr>
          <w:rPr>
            <w:rFonts w:ascii="Cambria Math" w:eastAsia="Microsoft YaHei UI" w:hAnsi="Cambria Math"/>
            <w:color w:val="000000" w:themeColor="text1"/>
            <w:sz w:val="22"/>
            <w:szCs w:val="22"/>
          </w:rPr>
          <m:t>∑</m:t>
        </m:r>
        <m:r>
          <m:rPr>
            <m:sty m:val="p"/>
          </m:rPr>
          <w:rPr>
            <w:rFonts w:ascii="Cambria Math" w:eastAsia="Microsoft YaHei UI" w:hAnsi="Cambria Math" w:hint="eastAsia"/>
            <w:color w:val="000000" w:themeColor="text1"/>
            <w:sz w:val="22"/>
            <w:szCs w:val="22"/>
          </w:rPr>
          <m:t>范围</m:t>
        </m:r>
        <m:r>
          <m:rPr>
            <m:sty m:val="p"/>
          </m:rPr>
          <w:rPr>
            <w:rFonts w:ascii="Cambria Math" w:eastAsia="Microsoft YaHei UI" w:hAnsi="Cambria Math"/>
            <w:color w:val="000000" w:themeColor="text1"/>
            <w:sz w:val="22"/>
            <w:szCs w:val="22"/>
          </w:rPr>
          <m:t>3</m:t>
        </m:r>
        <m:r>
          <m:rPr>
            <m:sty m:val="p"/>
          </m:rPr>
          <w:rPr>
            <w:rFonts w:ascii="Cambria Math" w:eastAsia="Microsoft YaHei UI" w:hAnsi="Cambria Math" w:hint="eastAsia"/>
            <w:color w:val="000000" w:themeColor="text1"/>
            <w:sz w:val="22"/>
            <w:szCs w:val="22"/>
          </w:rPr>
          <m:t>相关指标得分</m:t>
        </m:r>
        <m:r>
          <m:rPr>
            <m:sty m:val="p"/>
          </m:rPr>
          <w:rPr>
            <w:rFonts w:ascii="Cambria Math" w:eastAsia="Microsoft YaHei UI" w:hAnsi="Cambria Math" w:cs="Cambria Math"/>
            <w:color w:val="000000" w:themeColor="text1"/>
            <w:sz w:val="22"/>
            <w:szCs w:val="22"/>
          </w:rPr>
          <m:t>*</m:t>
        </m:r>
        <m:r>
          <m:rPr>
            <m:sty m:val="p"/>
          </m:rPr>
          <w:rPr>
            <w:rFonts w:ascii="Cambria Math" w:eastAsia="Microsoft YaHei UI" w:hAnsi="Cambria Math" w:hint="eastAsia"/>
            <w:color w:val="000000" w:themeColor="text1"/>
            <w:sz w:val="22"/>
            <w:szCs w:val="22"/>
          </w:rPr>
          <m:t>范围</m:t>
        </m:r>
        <m:r>
          <m:rPr>
            <m:sty m:val="p"/>
          </m:rPr>
          <w:rPr>
            <w:rFonts w:ascii="Cambria Math" w:eastAsia="Microsoft YaHei UI" w:hAnsi="Cambria Math"/>
            <w:color w:val="000000" w:themeColor="text1"/>
            <w:sz w:val="22"/>
            <w:szCs w:val="22"/>
          </w:rPr>
          <m:t>3</m:t>
        </m:r>
        <m:r>
          <m:rPr>
            <m:sty m:val="p"/>
          </m:rPr>
          <w:rPr>
            <w:rFonts w:ascii="Cambria Math" w:eastAsia="Microsoft YaHei UI" w:hAnsi="Cambria Math" w:hint="eastAsia"/>
            <w:color w:val="000000" w:themeColor="text1"/>
            <w:sz w:val="22"/>
            <w:szCs w:val="22"/>
          </w:rPr>
          <m:t>行业权重</m:t>
        </m:r>
      </m:oMath>
    </w:p>
    <w:p w14:paraId="19B30BED" w14:textId="3F2D95EC" w:rsidR="00843696" w:rsidRPr="00BB095B" w:rsidRDefault="00BE653B" w:rsidP="00BB095B">
      <w:pPr>
        <w:spacing w:line="276" w:lineRule="auto"/>
        <w:ind w:firstLine="360"/>
        <w:jc w:val="both"/>
        <w:rPr>
          <w:rFonts w:ascii="Microsoft YaHei UI" w:eastAsia="Microsoft YaHei UI" w:hAnsi="Microsoft YaHei UI"/>
          <w:color w:val="000000" w:themeColor="text1"/>
          <w:sz w:val="22"/>
          <w:szCs w:val="22"/>
        </w:rPr>
      </w:pPr>
      <w:r w:rsidRPr="00F108AB">
        <w:rPr>
          <w:rFonts w:ascii="Microsoft YaHei UI" w:eastAsia="Microsoft YaHei UI" w:hAnsi="Microsoft YaHei UI"/>
          <w:color w:val="000000" w:themeColor="text1"/>
          <w:sz w:val="22"/>
          <w:szCs w:val="22"/>
        </w:rPr>
        <w:t xml:space="preserve">The </w:t>
      </w:r>
      <w:r w:rsidR="00F108AB" w:rsidRPr="00487481">
        <w:rPr>
          <w:rFonts w:ascii="Microsoft YaHei UI" w:eastAsia="Microsoft YaHei UI" w:hAnsi="Microsoft YaHei UI"/>
          <w:color w:val="000000" w:themeColor="text1"/>
          <w:sz w:val="22"/>
          <w:szCs w:val="22"/>
        </w:rPr>
        <w:t>Automotive Industry Corporate Climate Action Transparency Index (CATI)</w:t>
      </w:r>
      <w:r w:rsidR="00F108AB">
        <w:rPr>
          <w:rFonts w:ascii="Microsoft YaHei UI" w:eastAsia="Microsoft YaHei UI" w:hAnsi="Microsoft YaHei UI"/>
          <w:color w:val="000000" w:themeColor="text1"/>
          <w:sz w:val="22"/>
          <w:szCs w:val="22"/>
        </w:rPr>
        <w:t xml:space="preserve"> </w:t>
      </w:r>
      <w:r w:rsidRPr="00F108AB">
        <w:rPr>
          <w:rFonts w:ascii="Microsoft YaHei UI" w:eastAsia="Microsoft YaHei UI" w:hAnsi="Microsoft YaHei UI"/>
          <w:color w:val="000000" w:themeColor="text1"/>
          <w:sz w:val="22"/>
          <w:szCs w:val="22"/>
        </w:rPr>
        <w:t xml:space="preserve">consists of 5 dimensions, 13 sub-dimensions, and </w:t>
      </w:r>
      <w:r w:rsidR="00F108AB" w:rsidRPr="00F108AB">
        <w:rPr>
          <w:rFonts w:ascii="Microsoft YaHei UI" w:eastAsia="Microsoft YaHei UI" w:hAnsi="Microsoft YaHei UI"/>
          <w:color w:val="000000" w:themeColor="text1"/>
          <w:sz w:val="22"/>
          <w:szCs w:val="22"/>
        </w:rPr>
        <w:t>52</w:t>
      </w:r>
      <w:r w:rsidR="00943806">
        <w:rPr>
          <w:rFonts w:ascii="Microsoft YaHei UI" w:eastAsia="Microsoft YaHei UI" w:hAnsi="Microsoft YaHei UI" w:hint="eastAsia"/>
          <w:color w:val="000000" w:themeColor="text1"/>
          <w:sz w:val="22"/>
          <w:szCs w:val="22"/>
        </w:rPr>
        <w:t xml:space="preserve"> </w:t>
      </w:r>
      <w:r w:rsidRPr="00F108AB">
        <w:rPr>
          <w:rFonts w:ascii="Microsoft YaHei UI" w:eastAsia="Microsoft YaHei UI" w:hAnsi="Microsoft YaHei UI"/>
          <w:color w:val="000000" w:themeColor="text1"/>
          <w:sz w:val="22"/>
          <w:szCs w:val="22"/>
        </w:rPr>
        <w:t>indicators.</w:t>
      </w:r>
      <w:r w:rsidR="00BB095B">
        <w:rPr>
          <w:rFonts w:ascii="Microsoft YaHei UI" w:eastAsia="Microsoft YaHei UI" w:hAnsi="Microsoft YaHei UI"/>
          <w:color w:val="000000" w:themeColor="text1"/>
          <w:sz w:val="22"/>
          <w:szCs w:val="22"/>
        </w:rPr>
        <w:t xml:space="preserve"> </w:t>
      </w:r>
      <w:r w:rsidRPr="00843696">
        <w:rPr>
          <w:rFonts w:ascii="Microsoft YaHei UI" w:eastAsia="Microsoft YaHei UI" w:hAnsi="Microsoft YaHei UI"/>
          <w:b/>
          <w:bCs/>
          <w:color w:val="000000" w:themeColor="text1"/>
          <w:sz w:val="22"/>
          <w:szCs w:val="22"/>
        </w:rPr>
        <w:t xml:space="preserve">Calculation formula: </w:t>
      </w:r>
    </w:p>
    <w:p w14:paraId="07A2024D" w14:textId="793E717D" w:rsidR="00BE653B" w:rsidRPr="00DB66F7" w:rsidRDefault="00BE653B" w:rsidP="00843696">
      <w:pPr>
        <w:spacing w:line="276" w:lineRule="auto"/>
        <w:ind w:firstLine="360"/>
        <w:rPr>
          <w:rFonts w:ascii="Microsoft YaHei UI" w:eastAsia="Microsoft YaHei UI" w:hAnsi="Microsoft YaHei UI"/>
          <w:b/>
          <w:bCs/>
          <w:color w:val="000000" w:themeColor="text1"/>
          <w:sz w:val="22"/>
          <w:szCs w:val="22"/>
        </w:rPr>
      </w:pPr>
      <w:r w:rsidRPr="00DB66F7">
        <w:rPr>
          <w:rFonts w:ascii="Cambria Math" w:eastAsia="Microsoft YaHei UI" w:hAnsi="Cambria Math"/>
          <w:b/>
          <w:bCs/>
          <w:color w:val="000000" w:themeColor="text1"/>
          <w:sz w:val="22"/>
          <w:szCs w:val="22"/>
        </w:rPr>
        <w:t>CATI Score</w:t>
      </w:r>
      <w:r w:rsidR="00BB095B" w:rsidRPr="00DB66F7">
        <w:rPr>
          <w:rFonts w:ascii="Cambria Math" w:eastAsia="Microsoft YaHei UI" w:hAnsi="Cambria Math"/>
          <w:b/>
          <w:bCs/>
          <w:color w:val="000000" w:themeColor="text1"/>
          <w:sz w:val="22"/>
          <w:szCs w:val="22"/>
        </w:rPr>
        <w:t xml:space="preserve"> </w:t>
      </w:r>
      <w:r w:rsidRPr="00DB66F7">
        <w:rPr>
          <w:rFonts w:ascii="Cambria Math" w:eastAsia="Microsoft YaHei UI" w:hAnsi="Cambria Math"/>
          <w:b/>
          <w:bCs/>
          <w:color w:val="000000" w:themeColor="text1"/>
          <w:sz w:val="22"/>
          <w:szCs w:val="22"/>
        </w:rPr>
        <w:t>=</w:t>
      </w:r>
      <w:r w:rsidR="00BB095B" w:rsidRPr="00DB66F7">
        <w:rPr>
          <w:rFonts w:ascii="Cambria Math" w:eastAsia="Microsoft YaHei UI" w:hAnsi="Cambria Math"/>
          <w:b/>
          <w:bCs/>
          <w:color w:val="000000" w:themeColor="text1"/>
          <w:sz w:val="22"/>
          <w:szCs w:val="22"/>
        </w:rPr>
        <w:t xml:space="preserve"> </w:t>
      </w:r>
      <m:oMath>
        <m:r>
          <m:rPr>
            <m:sty m:val="b"/>
          </m:rPr>
          <w:rPr>
            <w:rFonts w:ascii="Cambria Math" w:eastAsia="Microsoft YaHei UI" w:hAnsi="Cambria Math"/>
            <w:color w:val="000000" w:themeColor="text1"/>
            <w:sz w:val="22"/>
            <w:szCs w:val="22"/>
          </w:rPr>
          <m:t xml:space="preserve">∑Scores for Governance </m:t>
        </m:r>
      </m:oMath>
      <w:r w:rsidRPr="00DB66F7">
        <w:rPr>
          <w:rFonts w:ascii="Microsoft YaHei UI" w:eastAsia="Microsoft YaHei UI" w:hAnsi="Microsoft YaHei UI"/>
          <w:b/>
          <w:bCs/>
          <w:color w:val="000000" w:themeColor="text1"/>
          <w:sz w:val="22"/>
          <w:szCs w:val="22"/>
        </w:rPr>
        <w:t>+</w:t>
      </w:r>
      <m:oMath>
        <m:r>
          <m:rPr>
            <m:sty m:val="b"/>
          </m:rPr>
          <w:rPr>
            <w:rFonts w:ascii="Cambria Math" w:eastAsia="Microsoft YaHei UI" w:hAnsi="Cambria Math"/>
            <w:color w:val="000000" w:themeColor="text1"/>
            <w:sz w:val="22"/>
            <w:szCs w:val="22"/>
          </w:rPr>
          <m:t xml:space="preserve">∑Scores for Carbon Footprint  </m:t>
        </m:r>
      </m:oMath>
    </w:p>
    <w:p w14:paraId="6D3EFEF0" w14:textId="572658FA" w:rsidR="00BE653B" w:rsidRPr="00DB66F7" w:rsidRDefault="00BE653B" w:rsidP="00BE653B">
      <w:pPr>
        <w:spacing w:line="276" w:lineRule="auto"/>
        <w:ind w:left="360"/>
        <w:rPr>
          <w:rFonts w:ascii="Microsoft YaHei UI" w:eastAsia="Microsoft YaHei UI" w:hAnsi="Microsoft YaHei UI"/>
          <w:b/>
          <w:bCs/>
          <w:color w:val="000000" w:themeColor="text1"/>
          <w:sz w:val="22"/>
          <w:szCs w:val="22"/>
        </w:rPr>
      </w:pPr>
      <w:r w:rsidRPr="00DB66F7">
        <w:rPr>
          <w:rFonts w:ascii="Microsoft YaHei UI" w:eastAsia="Microsoft YaHei UI" w:hAnsi="Microsoft YaHei UI"/>
          <w:b/>
          <w:bCs/>
          <w:color w:val="000000" w:themeColor="text1"/>
          <w:sz w:val="22"/>
          <w:szCs w:val="22"/>
        </w:rPr>
        <w:t>+</w:t>
      </w:r>
      <m:oMath>
        <m:r>
          <m:rPr>
            <m:sty m:val="b"/>
          </m:rPr>
          <w:rPr>
            <w:rFonts w:ascii="Cambria Math" w:eastAsia="Microsoft YaHei UI" w:hAnsi="Cambria Math"/>
            <w:color w:val="000000" w:themeColor="text1"/>
            <w:sz w:val="22"/>
            <w:szCs w:val="22"/>
          </w:rPr>
          <m:t>∑</m:t>
        </m:r>
        <m:d>
          <m:dPr>
            <m:ctrlPr>
              <w:rPr>
                <w:rFonts w:ascii="Cambria Math" w:eastAsia="Microsoft YaHei UI" w:hAnsi="Cambria Math"/>
                <w:b/>
                <w:bCs/>
                <w:color w:val="000000" w:themeColor="text1"/>
                <w:sz w:val="22"/>
                <w:szCs w:val="22"/>
              </w:rPr>
            </m:ctrlPr>
          </m:dPr>
          <m:e>
            <m:r>
              <m:rPr>
                <m:sty m:val="b"/>
              </m:rPr>
              <w:rPr>
                <w:rFonts w:ascii="Cambria Math" w:eastAsia="Microsoft YaHei UI" w:hAnsi="Cambria Math"/>
                <w:color w:val="000000" w:themeColor="text1"/>
                <w:sz w:val="22"/>
                <w:szCs w:val="22"/>
              </w:rPr>
              <m:t>Scores for Scope 1&amp;2</m:t>
            </m:r>
          </m:e>
        </m:d>
        <m:r>
          <m:rPr>
            <m:sty m:val="b"/>
          </m:rPr>
          <w:rPr>
            <w:rFonts w:ascii="Cambria Math" w:eastAsia="Microsoft YaHei UI" w:hAnsi="Cambria Math"/>
            <w:color w:val="000000" w:themeColor="text1"/>
            <w:sz w:val="22"/>
            <w:szCs w:val="22"/>
          </w:rPr>
          <m:t>*Weighting factor of Scope 1&amp;2</m:t>
        </m:r>
      </m:oMath>
    </w:p>
    <w:p w14:paraId="24C73B85" w14:textId="6DE933F9" w:rsidR="00BE653B" w:rsidRPr="00DB66F7" w:rsidRDefault="00BE653B" w:rsidP="00BE653B">
      <w:pPr>
        <w:spacing w:line="276" w:lineRule="auto"/>
        <w:ind w:left="360"/>
        <w:rPr>
          <w:rFonts w:ascii="Microsoft YaHei UI" w:eastAsia="Microsoft YaHei UI" w:hAnsi="Microsoft YaHei UI"/>
          <w:b/>
          <w:bCs/>
          <w:color w:val="000000" w:themeColor="text1"/>
          <w:sz w:val="22"/>
          <w:szCs w:val="22"/>
        </w:rPr>
      </w:pPr>
      <w:r w:rsidRPr="00DB66F7">
        <w:rPr>
          <w:rFonts w:ascii="Microsoft YaHei UI" w:eastAsia="Microsoft YaHei UI" w:hAnsi="Microsoft YaHei UI"/>
          <w:b/>
          <w:bCs/>
          <w:color w:val="000000" w:themeColor="text1"/>
          <w:sz w:val="22"/>
          <w:szCs w:val="22"/>
        </w:rPr>
        <w:t>+</w:t>
      </w:r>
      <m:oMath>
        <m:r>
          <m:rPr>
            <m:sty m:val="b"/>
          </m:rPr>
          <w:rPr>
            <w:rFonts w:ascii="Cambria Math" w:eastAsia="Microsoft YaHei UI" w:hAnsi="Cambria Math"/>
            <w:color w:val="000000" w:themeColor="text1"/>
            <w:sz w:val="22"/>
            <w:szCs w:val="22"/>
          </w:rPr>
          <m:t>∑</m:t>
        </m:r>
        <m:d>
          <m:dPr>
            <m:ctrlPr>
              <w:rPr>
                <w:rFonts w:ascii="Cambria Math" w:eastAsia="Microsoft YaHei UI" w:hAnsi="Cambria Math"/>
                <w:b/>
                <w:bCs/>
                <w:color w:val="000000" w:themeColor="text1"/>
                <w:sz w:val="22"/>
                <w:szCs w:val="22"/>
              </w:rPr>
            </m:ctrlPr>
          </m:dPr>
          <m:e>
            <m:r>
              <m:rPr>
                <m:sty m:val="b"/>
              </m:rPr>
              <w:rPr>
                <w:rFonts w:ascii="Cambria Math" w:eastAsia="Microsoft YaHei UI" w:hAnsi="Cambria Math"/>
                <w:color w:val="000000" w:themeColor="text1"/>
                <w:sz w:val="22"/>
                <w:szCs w:val="22"/>
              </w:rPr>
              <m:t>Scores for Scope 3</m:t>
            </m:r>
          </m:e>
        </m:d>
        <m:r>
          <m:rPr>
            <m:sty m:val="b"/>
          </m:rPr>
          <w:rPr>
            <w:rFonts w:ascii="Cambria Math" w:eastAsia="Microsoft YaHei UI" w:hAnsi="Cambria Math"/>
            <w:color w:val="000000" w:themeColor="text1"/>
            <w:sz w:val="22"/>
            <w:szCs w:val="22"/>
          </w:rPr>
          <m:t>*Weighting factor of Scope 3</m:t>
        </m:r>
      </m:oMath>
    </w:p>
    <w:p w14:paraId="4C8F74FC" w14:textId="77777777" w:rsidR="00AF3946" w:rsidRPr="00AF3946" w:rsidRDefault="00AF3946" w:rsidP="00AF3946">
      <w:pPr>
        <w:ind w:left="360" w:firstLine="360"/>
        <w:rPr>
          <w:rFonts w:ascii="Microsoft YaHei UI" w:eastAsia="Microsoft YaHei UI" w:hAnsi="Microsoft YaHei UI"/>
          <w:color w:val="000000" w:themeColor="text1"/>
          <w:sz w:val="22"/>
          <w:szCs w:val="22"/>
        </w:rPr>
      </w:pPr>
    </w:p>
    <w:p w14:paraId="4F5F0DD9" w14:textId="52DD62C3" w:rsidR="00943806" w:rsidRDefault="00943806" w:rsidP="009B25D1">
      <w:pPr>
        <w:spacing w:before="103" w:line="194" w:lineRule="auto"/>
        <w:outlineLvl w:val="0"/>
        <w:rPr>
          <w:rFonts w:ascii="Microsoft YaHei UI" w:eastAsia="Microsoft YaHei UI" w:hAnsi="Microsoft YaHei UI" w:cs="Microsoft YaHei"/>
          <w:b/>
          <w:bCs/>
          <w:spacing w:val="-2"/>
          <w:sz w:val="32"/>
          <w:szCs w:val="32"/>
        </w:rPr>
      </w:pPr>
      <w:r>
        <w:rPr>
          <w:rFonts w:ascii="Microsoft YaHei UI" w:eastAsia="Microsoft YaHei UI" w:hAnsi="Microsoft YaHei UI" w:cs="Microsoft YaHei" w:hint="eastAsia"/>
          <w:b/>
          <w:bCs/>
          <w:spacing w:val="-2"/>
          <w:sz w:val="32"/>
          <w:szCs w:val="32"/>
        </w:rPr>
        <w:t>CATI指数行业</w:t>
      </w:r>
      <w:r w:rsidRPr="009B25D1">
        <w:rPr>
          <w:rFonts w:ascii="Microsoft YaHei UI" w:eastAsia="Microsoft YaHei UI" w:hAnsi="Microsoft YaHei UI" w:cs="Microsoft YaHei"/>
          <w:b/>
          <w:bCs/>
          <w:spacing w:val="-2"/>
          <w:sz w:val="32"/>
          <w:szCs w:val="32"/>
        </w:rPr>
        <w:t>权重</w:t>
      </w:r>
    </w:p>
    <w:p w14:paraId="467D2F5F" w14:textId="4AD61B2F" w:rsidR="00EE1C12" w:rsidRPr="009B25D1" w:rsidRDefault="00943806" w:rsidP="009B25D1">
      <w:pPr>
        <w:spacing w:before="103" w:line="194" w:lineRule="auto"/>
        <w:outlineLvl w:val="0"/>
        <w:rPr>
          <w:rFonts w:ascii="Microsoft YaHei UI" w:eastAsia="Microsoft YaHei UI" w:hAnsi="Microsoft YaHei UI" w:cs="Microsoft YaHei"/>
          <w:b/>
          <w:bCs/>
          <w:spacing w:val="-2"/>
          <w:sz w:val="32"/>
          <w:szCs w:val="32"/>
        </w:rPr>
      </w:pPr>
      <w:r>
        <w:rPr>
          <w:rFonts w:ascii="Microsoft YaHei UI" w:eastAsia="Microsoft YaHei UI" w:hAnsi="Microsoft YaHei UI" w:cs="Microsoft YaHei" w:hint="eastAsia"/>
          <w:b/>
          <w:bCs/>
          <w:spacing w:val="-2"/>
          <w:sz w:val="32"/>
          <w:szCs w:val="32"/>
        </w:rPr>
        <w:t xml:space="preserve">CATI Index Sectoral </w:t>
      </w:r>
      <w:r w:rsidR="000C3C24" w:rsidRPr="009B25D1">
        <w:rPr>
          <w:rFonts w:ascii="Microsoft YaHei UI" w:eastAsia="Microsoft YaHei UI" w:hAnsi="Microsoft YaHei UI" w:cs="Microsoft YaHei"/>
          <w:b/>
          <w:bCs/>
          <w:spacing w:val="-2"/>
          <w:sz w:val="32"/>
          <w:szCs w:val="32"/>
        </w:rPr>
        <w:t>Weighting Factors</w:t>
      </w:r>
    </w:p>
    <w:p w14:paraId="509397F3" w14:textId="5768DBA2" w:rsidR="00EE1C12" w:rsidRPr="007F5F9B" w:rsidRDefault="00252DFA" w:rsidP="00252DFA">
      <w:pPr>
        <w:jc w:val="both"/>
        <w:rPr>
          <w:rFonts w:ascii="Microsoft YaHei UI" w:eastAsia="Microsoft YaHei UI" w:hAnsi="Microsoft YaHei UI"/>
          <w:color w:val="000000" w:themeColor="text1"/>
          <w:sz w:val="22"/>
          <w:szCs w:val="22"/>
        </w:rPr>
      </w:pPr>
      <w:r>
        <w:rPr>
          <w:rFonts w:ascii="Microsoft YaHei UI" w:eastAsia="Microsoft YaHei UI" w:hAnsi="Microsoft YaHei UI" w:hint="eastAsia"/>
          <w:color w:val="000000" w:themeColor="text1"/>
          <w:sz w:val="22"/>
          <w:szCs w:val="22"/>
        </w:rPr>
        <w:t xml:space="preserve">    </w:t>
      </w:r>
      <w:r w:rsidR="00411FA0" w:rsidRPr="007F5F9B">
        <w:rPr>
          <w:rFonts w:ascii="Microsoft YaHei UI" w:eastAsia="Microsoft YaHei UI" w:hAnsi="Microsoft YaHei UI" w:hint="eastAsia"/>
          <w:color w:val="000000" w:themeColor="text1"/>
          <w:sz w:val="22"/>
          <w:szCs w:val="22"/>
        </w:rPr>
        <w:t>指数根据</w:t>
      </w:r>
      <w:r w:rsidR="0098372E" w:rsidRPr="007F5F9B">
        <w:rPr>
          <w:rFonts w:ascii="Microsoft YaHei UI" w:eastAsia="Microsoft YaHei UI" w:hAnsi="Microsoft YaHei UI" w:hint="eastAsia"/>
          <w:color w:val="000000" w:themeColor="text1"/>
          <w:sz w:val="22"/>
          <w:szCs w:val="22"/>
        </w:rPr>
        <w:t>汽车</w:t>
      </w:r>
      <w:r w:rsidR="00411FA0" w:rsidRPr="007F5F9B">
        <w:rPr>
          <w:rFonts w:ascii="Microsoft YaHei UI" w:eastAsia="Microsoft YaHei UI" w:hAnsi="Microsoft YaHei UI"/>
          <w:color w:val="000000" w:themeColor="text1"/>
          <w:sz w:val="22"/>
          <w:szCs w:val="22"/>
        </w:rPr>
        <w:t>行业直接和间接</w:t>
      </w:r>
      <w:r w:rsidR="00411FA0" w:rsidRPr="007F5F9B">
        <w:rPr>
          <w:rFonts w:ascii="Microsoft YaHei UI" w:eastAsia="Microsoft YaHei UI" w:hAnsi="Microsoft YaHei UI" w:hint="eastAsia"/>
          <w:color w:val="000000" w:themeColor="text1"/>
          <w:sz w:val="22"/>
          <w:szCs w:val="22"/>
        </w:rPr>
        <w:t>排放情况，对</w:t>
      </w:r>
      <w:r w:rsidR="00411FA0" w:rsidRPr="007F5F9B">
        <w:rPr>
          <w:rFonts w:ascii="Microsoft YaHei UI" w:eastAsia="Microsoft YaHei UI" w:hAnsi="Microsoft YaHei UI"/>
          <w:color w:val="000000" w:themeColor="text1"/>
          <w:sz w:val="22"/>
          <w:szCs w:val="22"/>
        </w:rPr>
        <w:t>一级指标中的测算披露（</w:t>
      </w:r>
      <w:r w:rsidR="006C0E5B">
        <w:rPr>
          <w:rFonts w:ascii="Microsoft YaHei UI" w:eastAsia="Microsoft YaHei UI" w:hAnsi="Microsoft YaHei UI" w:hint="eastAsia"/>
          <w:color w:val="000000" w:themeColor="text1"/>
          <w:sz w:val="22"/>
          <w:szCs w:val="22"/>
        </w:rPr>
        <w:t>16</w:t>
      </w:r>
      <w:r w:rsidR="00411FA0" w:rsidRPr="007F5F9B">
        <w:rPr>
          <w:rFonts w:ascii="Microsoft YaHei UI" w:eastAsia="Microsoft YaHei UI" w:hAnsi="Microsoft YaHei UI"/>
          <w:color w:val="000000" w:themeColor="text1"/>
          <w:sz w:val="22"/>
          <w:szCs w:val="22"/>
        </w:rPr>
        <w:t>%，产品碳足迹指标2.3.1（6%）不纳入折算）、碳目标设定（1</w:t>
      </w:r>
      <w:r w:rsidR="0098372E" w:rsidRPr="007F5F9B">
        <w:rPr>
          <w:rFonts w:ascii="Microsoft YaHei UI" w:eastAsia="Microsoft YaHei UI" w:hAnsi="Microsoft YaHei UI" w:hint="eastAsia"/>
          <w:color w:val="000000" w:themeColor="text1"/>
          <w:sz w:val="22"/>
          <w:szCs w:val="22"/>
        </w:rPr>
        <w:t>6</w:t>
      </w:r>
      <w:r w:rsidR="00411FA0" w:rsidRPr="007F5F9B">
        <w:rPr>
          <w:rFonts w:ascii="Microsoft YaHei UI" w:eastAsia="Microsoft YaHei UI" w:hAnsi="Microsoft YaHei UI"/>
          <w:color w:val="000000" w:themeColor="text1"/>
          <w:sz w:val="22"/>
          <w:szCs w:val="22"/>
        </w:rPr>
        <w:t>%）、碳目标绩效（1</w:t>
      </w:r>
      <w:r w:rsidR="001809EB" w:rsidRPr="007F5F9B">
        <w:rPr>
          <w:rFonts w:ascii="Microsoft YaHei UI" w:eastAsia="Microsoft YaHei UI" w:hAnsi="Microsoft YaHei UI" w:hint="eastAsia"/>
          <w:color w:val="000000" w:themeColor="text1"/>
          <w:sz w:val="22"/>
          <w:szCs w:val="22"/>
        </w:rPr>
        <w:t>4</w:t>
      </w:r>
      <w:r w:rsidR="00411FA0" w:rsidRPr="007F5F9B">
        <w:rPr>
          <w:rFonts w:ascii="Microsoft YaHei UI" w:eastAsia="Microsoft YaHei UI" w:hAnsi="Microsoft YaHei UI"/>
          <w:color w:val="000000" w:themeColor="text1"/>
          <w:sz w:val="22"/>
          <w:szCs w:val="22"/>
        </w:rPr>
        <w:t>%）、减排行动（</w:t>
      </w:r>
      <w:r w:rsidR="001809EB" w:rsidRPr="007F5F9B">
        <w:rPr>
          <w:rFonts w:ascii="Microsoft YaHei UI" w:eastAsia="Microsoft YaHei UI" w:hAnsi="Microsoft YaHei UI" w:hint="eastAsia"/>
          <w:color w:val="000000" w:themeColor="text1"/>
          <w:sz w:val="22"/>
          <w:szCs w:val="22"/>
        </w:rPr>
        <w:t>38</w:t>
      </w:r>
      <w:r w:rsidR="00411FA0" w:rsidRPr="007F5F9B">
        <w:rPr>
          <w:rFonts w:ascii="Microsoft YaHei UI" w:eastAsia="Microsoft YaHei UI" w:hAnsi="Microsoft YaHei UI"/>
          <w:color w:val="000000" w:themeColor="text1"/>
          <w:sz w:val="22"/>
          <w:szCs w:val="22"/>
        </w:rPr>
        <w:t>%）</w:t>
      </w:r>
      <w:r w:rsidR="00411FA0" w:rsidRPr="007F5F9B">
        <w:rPr>
          <w:rFonts w:ascii="Microsoft YaHei UI" w:eastAsia="Microsoft YaHei UI" w:hAnsi="Microsoft YaHei UI" w:hint="eastAsia"/>
          <w:color w:val="000000" w:themeColor="text1"/>
          <w:sz w:val="22"/>
          <w:szCs w:val="22"/>
        </w:rPr>
        <w:t>赋予行业权</w:t>
      </w:r>
      <w:r w:rsidR="00411FA0" w:rsidRPr="007F5F9B">
        <w:rPr>
          <w:rFonts w:ascii="Microsoft YaHei UI" w:eastAsia="Microsoft YaHei UI" w:hAnsi="Microsoft YaHei UI"/>
          <w:color w:val="000000" w:themeColor="text1"/>
          <w:sz w:val="22"/>
          <w:szCs w:val="22"/>
        </w:rPr>
        <w:t>重折算</w:t>
      </w:r>
      <w:r w:rsidR="00411FA0" w:rsidRPr="007F5F9B">
        <w:rPr>
          <w:rFonts w:ascii="Microsoft YaHei UI" w:eastAsia="Microsoft YaHei UI" w:hAnsi="Microsoft YaHei UI" w:hint="eastAsia"/>
          <w:color w:val="000000" w:themeColor="text1"/>
          <w:sz w:val="22"/>
          <w:szCs w:val="22"/>
        </w:rPr>
        <w:t>：</w:t>
      </w:r>
      <w:r w:rsidR="00411FA0" w:rsidRPr="007F5F9B">
        <w:rPr>
          <w:rFonts w:ascii="Microsoft YaHei UI" w:eastAsia="Microsoft YaHei UI" w:hAnsi="Microsoft YaHei UI"/>
          <w:color w:val="000000" w:themeColor="text1"/>
          <w:sz w:val="22"/>
          <w:szCs w:val="22"/>
        </w:rPr>
        <w:t>范围1+2 vs. 范围3上游 = 30%:70%。该折算系数参考学术文献、近期研究报告及领先企业披露的温室气体排放清单。</w:t>
      </w:r>
    </w:p>
    <w:p w14:paraId="21E06DF3" w14:textId="60E218A3" w:rsidR="00411FA0" w:rsidRPr="007F5F9B" w:rsidRDefault="00252DFA" w:rsidP="00411FA0">
      <w:pPr>
        <w:rPr>
          <w:rFonts w:ascii="Microsoft YaHei UI" w:eastAsia="Microsoft YaHei UI" w:hAnsi="Microsoft YaHei UI"/>
          <w:color w:val="000000" w:themeColor="text1"/>
          <w:sz w:val="22"/>
          <w:szCs w:val="22"/>
        </w:rPr>
      </w:pPr>
      <w:r>
        <w:rPr>
          <w:rFonts w:ascii="Microsoft YaHei UI" w:eastAsia="Microsoft YaHei UI" w:hAnsi="Microsoft YaHei UI" w:hint="eastAsia"/>
          <w:color w:val="000000" w:themeColor="text1"/>
          <w:sz w:val="22"/>
          <w:szCs w:val="22"/>
        </w:rPr>
        <w:t xml:space="preserve">    </w:t>
      </w:r>
      <w:r w:rsidR="00411FA0" w:rsidRPr="007F5F9B">
        <w:rPr>
          <w:rFonts w:ascii="Microsoft YaHei UI" w:eastAsia="Microsoft YaHei UI" w:hAnsi="Microsoft YaHei UI" w:hint="eastAsia"/>
          <w:color w:val="000000" w:themeColor="text1"/>
          <w:sz w:val="22"/>
          <w:szCs w:val="22"/>
        </w:rPr>
        <w:t>A</w:t>
      </w:r>
      <w:r w:rsidR="00411FA0" w:rsidRPr="007F5F9B">
        <w:rPr>
          <w:rFonts w:ascii="Microsoft YaHei UI" w:eastAsia="Microsoft YaHei UI" w:hAnsi="Microsoft YaHei UI"/>
          <w:color w:val="000000" w:themeColor="text1"/>
          <w:sz w:val="22"/>
          <w:szCs w:val="22"/>
        </w:rPr>
        <w:t xml:space="preserve"> weighting factor for automobile sector (Scope 1 &amp; 2 vs. Scope 3 </w:t>
      </w:r>
      <w:r w:rsidR="00222426" w:rsidRPr="007F5F9B">
        <w:rPr>
          <w:rFonts w:ascii="Microsoft YaHei UI" w:eastAsia="Microsoft YaHei UI" w:hAnsi="Microsoft YaHei UI"/>
          <w:color w:val="000000" w:themeColor="text1"/>
          <w:sz w:val="22"/>
          <w:szCs w:val="22"/>
        </w:rPr>
        <w:t xml:space="preserve">Upstream </w:t>
      </w:r>
      <w:r w:rsidR="00411FA0" w:rsidRPr="007F5F9B">
        <w:rPr>
          <w:rFonts w:ascii="Microsoft YaHei UI" w:eastAsia="Microsoft YaHei UI" w:hAnsi="Microsoft YaHei UI"/>
          <w:color w:val="000000" w:themeColor="text1"/>
          <w:sz w:val="22"/>
          <w:szCs w:val="22"/>
        </w:rPr>
        <w:t xml:space="preserve">= 30%:70%) applies across four of the five </w:t>
      </w:r>
      <w:r w:rsidR="00D107E6">
        <w:rPr>
          <w:rFonts w:ascii="Microsoft YaHei UI" w:eastAsia="Microsoft YaHei UI" w:hAnsi="Microsoft YaHei UI" w:hint="eastAsia"/>
          <w:color w:val="000000" w:themeColor="text1"/>
          <w:sz w:val="22"/>
          <w:szCs w:val="22"/>
        </w:rPr>
        <w:t xml:space="preserve">CATI </w:t>
      </w:r>
      <w:r w:rsidR="00313EC6" w:rsidRPr="00313EC6">
        <w:rPr>
          <w:rFonts w:ascii="Microsoft YaHei UI" w:eastAsia="Microsoft YaHei UI" w:hAnsi="Microsoft YaHei UI"/>
          <w:color w:val="000000" w:themeColor="text1"/>
          <w:sz w:val="22"/>
          <w:szCs w:val="22"/>
        </w:rPr>
        <w:t>Dimension</w:t>
      </w:r>
      <w:r w:rsidR="00411FA0" w:rsidRPr="007F5F9B">
        <w:rPr>
          <w:rFonts w:ascii="Microsoft YaHei UI" w:eastAsia="Microsoft YaHei UI" w:hAnsi="Microsoft YaHei UI"/>
          <w:color w:val="000000" w:themeColor="text1"/>
          <w:sz w:val="22"/>
          <w:szCs w:val="22"/>
        </w:rPr>
        <w:t>: Measurement &amp; Disclosure (</w:t>
      </w:r>
      <w:r w:rsidR="006C0E5B">
        <w:rPr>
          <w:rFonts w:ascii="Microsoft YaHei UI" w:eastAsia="Microsoft YaHei UI" w:hAnsi="Microsoft YaHei UI" w:hint="eastAsia"/>
          <w:color w:val="000000" w:themeColor="text1"/>
          <w:sz w:val="22"/>
          <w:szCs w:val="22"/>
        </w:rPr>
        <w:t>16</w:t>
      </w:r>
      <w:r w:rsidR="00411FA0" w:rsidRPr="007F5F9B">
        <w:rPr>
          <w:rFonts w:ascii="Microsoft YaHei UI" w:eastAsia="Microsoft YaHei UI" w:hAnsi="Microsoft YaHei UI"/>
          <w:color w:val="000000" w:themeColor="text1"/>
          <w:sz w:val="22"/>
          <w:szCs w:val="22"/>
        </w:rPr>
        <w:t xml:space="preserve">%; Indicator 2.3.1 does not apply), Carbon </w:t>
      </w:r>
      <w:r w:rsidR="00411FA0" w:rsidRPr="007F5F9B">
        <w:rPr>
          <w:rFonts w:ascii="Microsoft YaHei UI" w:eastAsia="Microsoft YaHei UI" w:hAnsi="Microsoft YaHei UI"/>
          <w:color w:val="000000" w:themeColor="text1"/>
          <w:sz w:val="22"/>
          <w:szCs w:val="22"/>
        </w:rPr>
        <w:lastRenderedPageBreak/>
        <w:t>Targets Setting (1</w:t>
      </w:r>
      <w:r w:rsidR="00411FA0" w:rsidRPr="007F5F9B">
        <w:rPr>
          <w:rFonts w:ascii="Microsoft YaHei UI" w:eastAsia="Microsoft YaHei UI" w:hAnsi="Microsoft YaHei UI" w:hint="eastAsia"/>
          <w:color w:val="000000" w:themeColor="text1"/>
          <w:sz w:val="22"/>
          <w:szCs w:val="22"/>
        </w:rPr>
        <w:t>6</w:t>
      </w:r>
      <w:r w:rsidR="00411FA0" w:rsidRPr="007F5F9B">
        <w:rPr>
          <w:rFonts w:ascii="Microsoft YaHei UI" w:eastAsia="Microsoft YaHei UI" w:hAnsi="Microsoft YaHei UI"/>
          <w:color w:val="000000" w:themeColor="text1"/>
          <w:sz w:val="22"/>
          <w:szCs w:val="22"/>
        </w:rPr>
        <w:t>%), Performance against Carbon Targets (1</w:t>
      </w:r>
      <w:r w:rsidR="00D46670" w:rsidRPr="007F5F9B">
        <w:rPr>
          <w:rFonts w:ascii="Microsoft YaHei UI" w:eastAsia="Microsoft YaHei UI" w:hAnsi="Microsoft YaHei UI"/>
          <w:color w:val="000000" w:themeColor="text1"/>
          <w:sz w:val="22"/>
          <w:szCs w:val="22"/>
        </w:rPr>
        <w:t>4</w:t>
      </w:r>
      <w:r w:rsidR="00411FA0" w:rsidRPr="007F5F9B">
        <w:rPr>
          <w:rFonts w:ascii="Microsoft YaHei UI" w:eastAsia="Microsoft YaHei UI" w:hAnsi="Microsoft YaHei UI"/>
          <w:color w:val="000000" w:themeColor="text1"/>
          <w:sz w:val="22"/>
          <w:szCs w:val="22"/>
        </w:rPr>
        <w:t>%) and Climate Action (</w:t>
      </w:r>
      <w:r w:rsidR="00D46670" w:rsidRPr="007F5F9B">
        <w:rPr>
          <w:rFonts w:ascii="Microsoft YaHei UI" w:eastAsia="Microsoft YaHei UI" w:hAnsi="Microsoft YaHei UI"/>
          <w:color w:val="000000" w:themeColor="text1"/>
          <w:sz w:val="22"/>
          <w:szCs w:val="22"/>
        </w:rPr>
        <w:t>38</w:t>
      </w:r>
      <w:r w:rsidR="00411FA0" w:rsidRPr="007F5F9B">
        <w:rPr>
          <w:rFonts w:ascii="Microsoft YaHei UI" w:eastAsia="Microsoft YaHei UI" w:hAnsi="Microsoft YaHei UI"/>
          <w:color w:val="000000" w:themeColor="text1"/>
          <w:sz w:val="22"/>
          <w:szCs w:val="22"/>
        </w:rPr>
        <w:t xml:space="preserve">%). The default weighting factors are based on research of various expert reports, academic literature and emissions data publicly disclosed by leading </w:t>
      </w:r>
      <w:r w:rsidR="00411FA0" w:rsidRPr="007F5F9B">
        <w:rPr>
          <w:rFonts w:ascii="Microsoft YaHei UI" w:eastAsia="Microsoft YaHei UI" w:hAnsi="Microsoft YaHei UI"/>
          <w:color w:val="000000" w:themeColor="text1"/>
          <w:sz w:val="22"/>
          <w:szCs w:val="22"/>
          <w:lang w:eastAsia="zh-Hans"/>
        </w:rPr>
        <w:t>companie</w:t>
      </w:r>
      <w:r w:rsidR="00411FA0" w:rsidRPr="007F5F9B">
        <w:rPr>
          <w:rFonts w:ascii="Microsoft YaHei UI" w:eastAsia="Microsoft YaHei UI" w:hAnsi="Microsoft YaHei UI"/>
          <w:color w:val="000000" w:themeColor="text1"/>
          <w:sz w:val="22"/>
          <w:szCs w:val="22"/>
        </w:rPr>
        <w:t xml:space="preserve">s from different industries. </w:t>
      </w:r>
    </w:p>
    <w:p w14:paraId="636B16DE" w14:textId="77777777" w:rsidR="00411FA0" w:rsidRPr="007F5F9B" w:rsidRDefault="00411FA0" w:rsidP="00411FA0">
      <w:pPr>
        <w:rPr>
          <w:rFonts w:ascii="Microsoft YaHei UI" w:eastAsia="Microsoft YaHei UI" w:hAnsi="Microsoft YaHei UI"/>
          <w:color w:val="000000" w:themeColor="text1"/>
          <w:sz w:val="22"/>
          <w:szCs w:val="22"/>
        </w:rPr>
      </w:pPr>
    </w:p>
    <w:p w14:paraId="602B3A32" w14:textId="73D58847" w:rsidR="000B44BC" w:rsidRPr="000B44BC" w:rsidRDefault="000B44BC" w:rsidP="000B44BC">
      <w:pPr>
        <w:spacing w:before="103" w:line="194" w:lineRule="auto"/>
        <w:outlineLvl w:val="0"/>
        <w:rPr>
          <w:rFonts w:ascii="Microsoft YaHei UI" w:eastAsia="Microsoft YaHei UI" w:hAnsi="Microsoft YaHei UI" w:cs="Microsoft YaHei"/>
          <w:b/>
          <w:bCs/>
          <w:spacing w:val="-2"/>
          <w:sz w:val="32"/>
          <w:szCs w:val="32"/>
        </w:rPr>
      </w:pPr>
      <w:r w:rsidRPr="000B44BC">
        <w:rPr>
          <w:rFonts w:ascii="Microsoft YaHei UI" w:eastAsia="Microsoft YaHei UI" w:hAnsi="Microsoft YaHei UI" w:cs="Microsoft YaHei"/>
          <w:b/>
          <w:bCs/>
          <w:spacing w:val="-2"/>
          <w:sz w:val="32"/>
          <w:szCs w:val="32"/>
        </w:rPr>
        <w:t>数据来源</w:t>
      </w:r>
      <w:r w:rsidR="00634915">
        <w:rPr>
          <w:rFonts w:ascii="Microsoft YaHei UI" w:eastAsia="Microsoft YaHei UI" w:hAnsi="Microsoft YaHei UI" w:cs="Microsoft YaHei" w:hint="eastAsia"/>
          <w:b/>
          <w:bCs/>
          <w:spacing w:val="-2"/>
          <w:sz w:val="32"/>
          <w:szCs w:val="32"/>
        </w:rPr>
        <w:t xml:space="preserve"> </w:t>
      </w:r>
      <w:r w:rsidR="00634915" w:rsidRPr="009331DF">
        <w:rPr>
          <w:rFonts w:ascii="Microsoft YaHei UI" w:eastAsia="Microsoft YaHei UI" w:hAnsi="Microsoft YaHei UI" w:cs="Microsoft YaHei"/>
          <w:b/>
          <w:bCs/>
          <w:spacing w:val="-2"/>
          <w:sz w:val="32"/>
          <w:szCs w:val="32"/>
        </w:rPr>
        <w:t>Sources of Data</w:t>
      </w:r>
    </w:p>
    <w:p w14:paraId="756478E9" w14:textId="07666A0D" w:rsidR="000B44BC" w:rsidRDefault="00720FE5" w:rsidP="000B44BC">
      <w:pPr>
        <w:rPr>
          <w:rFonts w:ascii="Microsoft YaHei UI" w:eastAsia="Microsoft YaHei UI" w:hAnsi="Microsoft YaHei UI"/>
          <w:color w:val="000000" w:themeColor="text1"/>
          <w:sz w:val="22"/>
          <w:szCs w:val="22"/>
        </w:rPr>
      </w:pPr>
      <w:r w:rsidRPr="00720FE5">
        <w:rPr>
          <w:rFonts w:ascii="Microsoft YaHei UI" w:eastAsia="Microsoft YaHei UI" w:hAnsi="Microsoft YaHei UI"/>
          <w:color w:val="000000" w:themeColor="text1"/>
          <w:sz w:val="22"/>
          <w:szCs w:val="22"/>
        </w:rPr>
        <w:t>汽车行业企业气候行动CATI指数</w:t>
      </w:r>
      <w:r w:rsidR="00943806">
        <w:rPr>
          <w:rFonts w:ascii="Microsoft YaHei UI" w:eastAsia="Microsoft YaHei UI" w:hAnsi="Microsoft YaHei UI" w:hint="eastAsia"/>
          <w:color w:val="000000" w:themeColor="text1"/>
          <w:sz w:val="22"/>
          <w:szCs w:val="22"/>
        </w:rPr>
        <w:t>的研究依据为</w:t>
      </w:r>
      <w:r w:rsidR="000B44BC" w:rsidRPr="000B44BC">
        <w:rPr>
          <w:rFonts w:ascii="Microsoft YaHei UI" w:eastAsia="Microsoft YaHei UI" w:hAnsi="Microsoft YaHei UI"/>
          <w:color w:val="000000" w:themeColor="text1"/>
          <w:sz w:val="22"/>
          <w:szCs w:val="22"/>
        </w:rPr>
        <w:t>企业公开披露的信息，包括但不限于：企业官方网站、年报、CSR 报告、ESG 报告、可持续发展报告等定期报告，官方自媒体平台等公开渠道发布的信息，蔚蓝地图数据库收集的可信源发布的数据，企业公开披露的 CDP问卷回复，以及企业推动供应商自主披露的气候变化相关信息等。</w:t>
      </w:r>
    </w:p>
    <w:p w14:paraId="550051E8" w14:textId="2941AC02" w:rsidR="00576538" w:rsidRPr="00487481" w:rsidRDefault="00487481" w:rsidP="00487481">
      <w:pPr>
        <w:rPr>
          <w:rFonts w:ascii="Microsoft YaHei UI" w:eastAsia="Microsoft YaHei UI" w:hAnsi="Microsoft YaHei UI"/>
          <w:color w:val="000000" w:themeColor="text1"/>
          <w:sz w:val="22"/>
          <w:szCs w:val="22"/>
        </w:rPr>
      </w:pPr>
      <w:r>
        <w:rPr>
          <w:rFonts w:ascii="Microsoft YaHei UI" w:eastAsia="Microsoft YaHei UI" w:hAnsi="Microsoft YaHei UI"/>
          <w:color w:val="000000" w:themeColor="text1"/>
          <w:sz w:val="22"/>
          <w:szCs w:val="22"/>
        </w:rPr>
        <w:t xml:space="preserve">The data used for </w:t>
      </w:r>
      <w:r w:rsidRPr="00487481">
        <w:rPr>
          <w:rFonts w:ascii="Microsoft YaHei UI" w:eastAsia="Microsoft YaHei UI" w:hAnsi="Microsoft YaHei UI"/>
          <w:color w:val="000000" w:themeColor="text1"/>
          <w:sz w:val="22"/>
          <w:szCs w:val="22"/>
        </w:rPr>
        <w:t>Automotive Industry Corporate Climate Action Transparency Index (CATI)</w:t>
      </w:r>
      <w:r w:rsidR="000D74C1">
        <w:rPr>
          <w:rFonts w:ascii="Microsoft YaHei UI" w:eastAsia="Microsoft YaHei UI" w:hAnsi="Microsoft YaHei UI" w:hint="eastAsia"/>
          <w:color w:val="000000" w:themeColor="text1"/>
          <w:sz w:val="22"/>
          <w:szCs w:val="22"/>
        </w:rPr>
        <w:t xml:space="preserve"> research</w:t>
      </w:r>
      <w:r w:rsidR="00576538" w:rsidRPr="00487481">
        <w:rPr>
          <w:rFonts w:ascii="Microsoft YaHei UI" w:eastAsia="Microsoft YaHei UI" w:hAnsi="Microsoft YaHei UI"/>
          <w:color w:val="000000" w:themeColor="text1"/>
          <w:sz w:val="22"/>
          <w:szCs w:val="22"/>
        </w:rPr>
        <w:t xml:space="preserve"> comes from the publicly disclosed information </w:t>
      </w:r>
      <w:r w:rsidR="005C4D09">
        <w:rPr>
          <w:rFonts w:ascii="Microsoft YaHei UI" w:eastAsia="Microsoft YaHei UI" w:hAnsi="Microsoft YaHei UI" w:hint="eastAsia"/>
          <w:color w:val="000000" w:themeColor="text1"/>
          <w:sz w:val="22"/>
          <w:szCs w:val="22"/>
        </w:rPr>
        <w:t>from</w:t>
      </w:r>
      <w:r w:rsidR="00576538" w:rsidRPr="00487481">
        <w:rPr>
          <w:rFonts w:ascii="Microsoft YaHei UI" w:eastAsia="Microsoft YaHei UI" w:hAnsi="Microsoft YaHei UI"/>
          <w:color w:val="000000" w:themeColor="text1"/>
          <w:sz w:val="22"/>
          <w:szCs w:val="22"/>
        </w:rPr>
        <w:t xml:space="preserve"> companies, including but not limited to: official websites, annual reports, CSR reports, ESG reports, sustainability reports and other periodic reports</w:t>
      </w:r>
      <w:r w:rsidR="00CE55E9">
        <w:rPr>
          <w:rFonts w:ascii="Microsoft YaHei UI" w:eastAsia="Microsoft YaHei UI" w:hAnsi="Microsoft YaHei UI"/>
          <w:color w:val="000000" w:themeColor="text1"/>
          <w:sz w:val="22"/>
          <w:szCs w:val="22"/>
        </w:rPr>
        <w:t xml:space="preserve"> as well as</w:t>
      </w:r>
      <w:r w:rsidR="00576538" w:rsidRPr="00487481">
        <w:rPr>
          <w:rFonts w:ascii="Microsoft YaHei UI" w:eastAsia="Microsoft YaHei UI" w:hAnsi="Microsoft YaHei UI"/>
          <w:color w:val="000000" w:themeColor="text1"/>
          <w:sz w:val="22"/>
          <w:szCs w:val="22"/>
        </w:rPr>
        <w:t xml:space="preserve"> </w:t>
      </w:r>
      <w:r w:rsidR="00A97FF1">
        <w:rPr>
          <w:rFonts w:ascii="Microsoft YaHei UI" w:eastAsia="Microsoft YaHei UI" w:hAnsi="Microsoft YaHei UI"/>
          <w:color w:val="000000" w:themeColor="text1"/>
          <w:sz w:val="22"/>
          <w:szCs w:val="22"/>
        </w:rPr>
        <w:t>socia</w:t>
      </w:r>
      <w:r w:rsidR="000E76A7">
        <w:rPr>
          <w:rFonts w:ascii="Microsoft YaHei UI" w:eastAsia="Microsoft YaHei UI" w:hAnsi="Microsoft YaHei UI" w:hint="eastAsia"/>
          <w:color w:val="000000" w:themeColor="text1"/>
          <w:sz w:val="22"/>
          <w:szCs w:val="22"/>
        </w:rPr>
        <w:t>l</w:t>
      </w:r>
      <w:r w:rsidR="00A97FF1">
        <w:rPr>
          <w:rFonts w:ascii="Microsoft YaHei UI" w:eastAsia="Microsoft YaHei UI" w:hAnsi="Microsoft YaHei UI"/>
          <w:color w:val="000000" w:themeColor="text1"/>
          <w:sz w:val="22"/>
          <w:szCs w:val="22"/>
        </w:rPr>
        <w:t xml:space="preserve"> medi</w:t>
      </w:r>
      <w:r w:rsidR="00203474">
        <w:rPr>
          <w:rFonts w:ascii="Microsoft YaHei UI" w:eastAsia="Microsoft YaHei UI" w:hAnsi="Microsoft YaHei UI"/>
          <w:color w:val="000000" w:themeColor="text1"/>
          <w:sz w:val="22"/>
          <w:szCs w:val="22"/>
        </w:rPr>
        <w:t>a</w:t>
      </w:r>
      <w:r w:rsidR="00576538" w:rsidRPr="00487481">
        <w:rPr>
          <w:rFonts w:ascii="Microsoft YaHei UI" w:eastAsia="Microsoft YaHei UI" w:hAnsi="Microsoft YaHei UI"/>
          <w:color w:val="000000" w:themeColor="text1"/>
          <w:sz w:val="22"/>
          <w:szCs w:val="22"/>
        </w:rPr>
        <w:t xml:space="preserve">; data released by credible sources and collected by the Blue Map database; publicly disclosed responses to the CDP questionnaire; and </w:t>
      </w:r>
      <w:r w:rsidR="00481AD7">
        <w:rPr>
          <w:rFonts w:ascii="Microsoft YaHei UI" w:eastAsia="Microsoft YaHei UI" w:hAnsi="Microsoft YaHei UI"/>
          <w:color w:val="000000" w:themeColor="text1"/>
          <w:sz w:val="22"/>
          <w:szCs w:val="22"/>
        </w:rPr>
        <w:t xml:space="preserve">greenhouse gas </w:t>
      </w:r>
      <w:r w:rsidR="00576538" w:rsidRPr="00487481">
        <w:rPr>
          <w:rFonts w:ascii="Microsoft YaHei UI" w:eastAsia="Microsoft YaHei UI" w:hAnsi="Microsoft YaHei UI"/>
          <w:color w:val="000000" w:themeColor="text1"/>
          <w:sz w:val="22"/>
          <w:szCs w:val="22"/>
        </w:rPr>
        <w:t xml:space="preserve">emissions data </w:t>
      </w:r>
      <w:r w:rsidR="000D74C1" w:rsidRPr="000D74C1">
        <w:rPr>
          <w:rFonts w:ascii="Microsoft YaHei UI" w:eastAsia="Microsoft YaHei UI" w:hAnsi="Microsoft YaHei UI"/>
          <w:color w:val="000000" w:themeColor="text1"/>
          <w:sz w:val="22"/>
          <w:szCs w:val="22"/>
        </w:rPr>
        <w:t xml:space="preserve">independently </w:t>
      </w:r>
      <w:r w:rsidR="00576538" w:rsidRPr="00487481">
        <w:rPr>
          <w:rFonts w:ascii="Microsoft YaHei UI" w:eastAsia="Microsoft YaHei UI" w:hAnsi="Microsoft YaHei UI"/>
          <w:color w:val="000000" w:themeColor="text1"/>
          <w:sz w:val="22"/>
          <w:szCs w:val="22"/>
        </w:rPr>
        <w:t>disclosed by</w:t>
      </w:r>
      <w:r w:rsidR="000D74C1" w:rsidRPr="000D74C1">
        <w:rPr>
          <w:rFonts w:ascii="Microsoft YaHei UI" w:eastAsia="Microsoft YaHei UI" w:hAnsi="Microsoft YaHei UI"/>
          <w:color w:val="000000" w:themeColor="text1"/>
          <w:sz w:val="22"/>
          <w:szCs w:val="22"/>
        </w:rPr>
        <w:t xml:space="preserve"> suppliers with the encouragement of</w:t>
      </w:r>
      <w:r w:rsidR="00576538" w:rsidRPr="00487481">
        <w:rPr>
          <w:rFonts w:ascii="Microsoft YaHei UI" w:eastAsia="Microsoft YaHei UI" w:hAnsi="Microsoft YaHei UI"/>
          <w:color w:val="000000" w:themeColor="text1"/>
          <w:sz w:val="22"/>
          <w:szCs w:val="22"/>
        </w:rPr>
        <w:t xml:space="preserve"> companies.</w:t>
      </w:r>
    </w:p>
    <w:p w14:paraId="00ECAFAC" w14:textId="08531278" w:rsidR="00411FA0" w:rsidRPr="00487481" w:rsidRDefault="00411FA0">
      <w:pPr>
        <w:rPr>
          <w:rFonts w:ascii="Microsoft YaHei UI" w:eastAsia="Microsoft YaHei UI" w:hAnsi="Microsoft YaHei UI"/>
          <w:color w:val="000000" w:themeColor="text1"/>
          <w:sz w:val="22"/>
          <w:szCs w:val="22"/>
        </w:rPr>
      </w:pPr>
    </w:p>
    <w:p w14:paraId="6371DF33" w14:textId="77777777" w:rsidR="00140417" w:rsidRDefault="00140417" w:rsidP="005C1234">
      <w:pPr>
        <w:pStyle w:val="Heading1"/>
        <w:spacing w:after="240" w:afterAutospacing="0"/>
        <w:rPr>
          <w:rFonts w:ascii="Microsoft YaHei UI" w:eastAsia="Microsoft YaHei UI" w:hAnsi="Microsoft YaHei UI"/>
          <w:b/>
          <w:color w:val="000000" w:themeColor="text1"/>
        </w:rPr>
        <w:sectPr w:rsidR="00140417">
          <w:pgSz w:w="11906" w:h="16838"/>
          <w:pgMar w:top="1440" w:right="1800" w:bottom="1440" w:left="1800" w:header="851" w:footer="992" w:gutter="0"/>
          <w:cols w:space="425"/>
          <w:docGrid w:type="lines" w:linePitch="312"/>
        </w:sectPr>
      </w:pPr>
    </w:p>
    <w:p w14:paraId="360A4865" w14:textId="50F4F26F" w:rsidR="00EE1C12" w:rsidRPr="009B25D1" w:rsidRDefault="005B11A4" w:rsidP="005C1234">
      <w:pPr>
        <w:pStyle w:val="Heading1"/>
        <w:spacing w:after="240" w:afterAutospacing="0"/>
        <w:rPr>
          <w:rFonts w:ascii="Microsoft YaHei UI" w:eastAsia="Microsoft YaHei UI" w:hAnsi="Microsoft YaHei UI"/>
          <w:b/>
          <w:color w:val="000000" w:themeColor="text1"/>
        </w:rPr>
      </w:pPr>
      <w:r w:rsidRPr="009B25D1">
        <w:rPr>
          <w:rFonts w:ascii="Microsoft YaHei UI" w:eastAsia="Microsoft YaHei UI" w:hAnsi="Microsoft YaHei UI"/>
          <w:b/>
          <w:color w:val="000000" w:themeColor="text1"/>
        </w:rPr>
        <w:lastRenderedPageBreak/>
        <w:t>附录 术语与定义</w:t>
      </w:r>
      <w:r w:rsidRPr="009B25D1">
        <w:rPr>
          <w:rFonts w:ascii="Microsoft YaHei UI" w:eastAsia="Microsoft YaHei UI" w:hAnsi="Microsoft YaHei UI"/>
          <w:b/>
          <w:bCs/>
          <w:color w:val="000000" w:themeColor="text1"/>
        </w:rPr>
        <w:t>Appendix Terms and Definitions</w:t>
      </w:r>
    </w:p>
    <w:p w14:paraId="564DA557"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供应链 Supply Chain:</w:t>
      </w:r>
    </w:p>
    <w:p w14:paraId="7BCCD93D"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生产及流通过程中，涉及将产品提供给最终用户所形成的网链结构，包括多层级供应商。</w:t>
      </w:r>
    </w:p>
    <w:p w14:paraId="7CB6E2CE"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The chain or network of production and distribution processes through which products are ultimately provided to end-users, and that includes multiple tiers of suppliers.</w:t>
      </w:r>
    </w:p>
    <w:p w14:paraId="2F26C178" w14:textId="77777777" w:rsidR="00EE1C12" w:rsidRPr="007F5F9B" w:rsidRDefault="00EE1C12" w:rsidP="000E6056">
      <w:pPr>
        <w:rPr>
          <w:rFonts w:ascii="Microsoft YaHei UI" w:eastAsia="Microsoft YaHei UI" w:hAnsi="Microsoft YaHei UI"/>
          <w:color w:val="000000" w:themeColor="text1"/>
          <w:sz w:val="22"/>
          <w:szCs w:val="22"/>
        </w:rPr>
      </w:pPr>
    </w:p>
    <w:p w14:paraId="773FA648" w14:textId="7E53FC45" w:rsidR="005B11A4" w:rsidRPr="007F5F9B" w:rsidRDefault="005B11A4" w:rsidP="000E6056">
      <w:pPr>
        <w:pStyle w:val="ListParagraph"/>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供应商Supplier</w:t>
      </w:r>
      <w:r w:rsidR="004C42EA" w:rsidRPr="007F5F9B">
        <w:rPr>
          <w:rStyle w:val="FootnoteReference"/>
          <w:rFonts w:ascii="Microsoft YaHei UI" w:eastAsia="Microsoft YaHei UI" w:hAnsi="Microsoft YaHei UI" w:cs="Times New Roman"/>
          <w:b/>
          <w:bCs/>
          <w:color w:val="000000" w:themeColor="text1"/>
          <w:sz w:val="22"/>
          <w:szCs w:val="22"/>
        </w:rPr>
        <w:footnoteReference w:id="1"/>
      </w:r>
    </w:p>
    <w:p w14:paraId="20AD2972" w14:textId="77777777" w:rsidR="005B11A4" w:rsidRPr="007F5F9B" w:rsidRDefault="005B11A4"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向品牌提供产品和服务的组织，包括但不限于品牌下属工厂等关联企业、生产代工厂、原材料提供商、与生产相关的服务提供商（如污水集中处理设施、固体废物运输和处置单位）、物流供应商。</w:t>
      </w:r>
    </w:p>
    <w:p w14:paraId="6FA79C9B" w14:textId="363BD1EB" w:rsidR="005B11A4" w:rsidRPr="007F5F9B" w:rsidRDefault="005B11A4"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An entity that provides products and services to a brand, including but not necessarily limited to a brand’s subsidiary factories and other affiliates, production subcontractors, raw materials providers, service providers for production processes (e.g. centralized wastewater treatment facilities, solid waste transportation and disposal entities) and logistics providers.</w:t>
      </w:r>
    </w:p>
    <w:p w14:paraId="4BB12B26" w14:textId="77777777" w:rsidR="005B11A4" w:rsidRDefault="005B11A4" w:rsidP="000E6056">
      <w:pPr>
        <w:rPr>
          <w:rFonts w:ascii="Microsoft YaHei UI" w:eastAsia="Microsoft YaHei UI" w:hAnsi="Microsoft YaHei UI"/>
          <w:color w:val="000000" w:themeColor="text1"/>
          <w:sz w:val="22"/>
          <w:szCs w:val="22"/>
        </w:rPr>
      </w:pPr>
    </w:p>
    <w:p w14:paraId="09635BE6" w14:textId="77777777" w:rsidR="001D7DF4" w:rsidRPr="007F5F9B" w:rsidRDefault="001D7DF4" w:rsidP="000E6056">
      <w:pPr>
        <w:rPr>
          <w:rFonts w:ascii="Microsoft YaHei UI" w:eastAsia="Microsoft YaHei UI" w:hAnsi="Microsoft YaHei UI"/>
          <w:color w:val="000000" w:themeColor="text1"/>
          <w:sz w:val="22"/>
          <w:szCs w:val="22"/>
        </w:rPr>
      </w:pPr>
    </w:p>
    <w:p w14:paraId="0C2FD235" w14:textId="77777777" w:rsidR="005B11A4" w:rsidRPr="007F5F9B" w:rsidRDefault="005B11A4" w:rsidP="000E6056">
      <w:pPr>
        <w:pStyle w:val="ListParagraph"/>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lastRenderedPageBreak/>
        <w:t>直接供应商 Direct Supplier</w:t>
      </w:r>
    </w:p>
    <w:p w14:paraId="04886926" w14:textId="77777777" w:rsidR="005B11A4" w:rsidRPr="007F5F9B" w:rsidRDefault="005B11A4"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直接与品牌签订采购合同的供应商。</w:t>
      </w:r>
    </w:p>
    <w:p w14:paraId="21A00450" w14:textId="66D13FC5" w:rsidR="005B11A4" w:rsidRPr="007F5F9B" w:rsidRDefault="005B11A4"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A supplier that has directly signed a procurement contract with a brand.</w:t>
      </w:r>
    </w:p>
    <w:p w14:paraId="12D2285D" w14:textId="4EBC7D79" w:rsidR="005B11A4" w:rsidRPr="007F5F9B" w:rsidRDefault="005B11A4" w:rsidP="000E6056">
      <w:pPr>
        <w:rPr>
          <w:rFonts w:ascii="Microsoft YaHei UI" w:eastAsia="Microsoft YaHei UI" w:hAnsi="Microsoft YaHei UI"/>
          <w:color w:val="000000" w:themeColor="text1"/>
          <w:sz w:val="22"/>
          <w:szCs w:val="22"/>
        </w:rPr>
      </w:pPr>
    </w:p>
    <w:p w14:paraId="23632D36" w14:textId="77777777" w:rsidR="005B11A4" w:rsidRPr="007F5F9B" w:rsidRDefault="005B11A4" w:rsidP="000E6056">
      <w:pPr>
        <w:pStyle w:val="ListParagraph"/>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间接供应商 Indirect Supplier</w:t>
      </w:r>
    </w:p>
    <w:p w14:paraId="7A42196C" w14:textId="77777777" w:rsidR="005B11A4" w:rsidRPr="007F5F9B" w:rsidRDefault="005B11A4"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不与企业直接签订采购合同，但在产品生产供应链条上的供应商。</w:t>
      </w:r>
    </w:p>
    <w:p w14:paraId="2ECA37A7" w14:textId="4C231DFC" w:rsidR="005B11A4" w:rsidRPr="007F5F9B" w:rsidRDefault="005B11A4"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A supplier that has not directly signed a procurement contract with a company, but is a part of the supply chain for the company’s main products or services.</w:t>
      </w:r>
    </w:p>
    <w:p w14:paraId="2410EB5A" w14:textId="77777777" w:rsidR="00EE1C12" w:rsidRPr="007F5F9B" w:rsidRDefault="00EE1C12" w:rsidP="000E6056">
      <w:pPr>
        <w:rPr>
          <w:rFonts w:ascii="Microsoft YaHei UI" w:eastAsia="Microsoft YaHei UI" w:hAnsi="Microsoft YaHei UI"/>
          <w:color w:val="000000" w:themeColor="text1"/>
          <w:sz w:val="22"/>
          <w:szCs w:val="22"/>
        </w:rPr>
      </w:pPr>
    </w:p>
    <w:p w14:paraId="38219EE8"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关联企业 Affiliated Company/Affiliates:</w:t>
      </w:r>
    </w:p>
    <w:p w14:paraId="7CDA017F"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按照企业运营边界划定方法，关联企业指属于该企业拥有或直接管控的企业，包括自有工厂、门店、仓库、子公司、分公司等。</w:t>
      </w:r>
    </w:p>
    <w:p w14:paraId="52784F76" w14:textId="57709561"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 xml:space="preserve">Based on operational boundary setting </w:t>
      </w:r>
      <w:r w:rsidRPr="007F5F9B">
        <w:rPr>
          <w:rFonts w:ascii="Microsoft YaHei UI" w:eastAsia="Microsoft YaHei UI" w:hAnsi="Microsoft YaHei UI"/>
          <w:color w:val="000000" w:themeColor="text1"/>
          <w:sz w:val="22"/>
          <w:szCs w:val="22"/>
          <w:lang w:eastAsia="zh-Hans"/>
        </w:rPr>
        <w:t>methodology</w:t>
      </w:r>
      <w:r w:rsidRPr="007F5F9B">
        <w:rPr>
          <w:rFonts w:ascii="Microsoft YaHei UI" w:eastAsia="Microsoft YaHei UI" w:hAnsi="Microsoft YaHei UI"/>
          <w:color w:val="000000" w:themeColor="text1"/>
          <w:sz w:val="22"/>
          <w:szCs w:val="22"/>
        </w:rPr>
        <w:t xml:space="preserve">, affiliated companies or affiliates refer to companies that are owned or controlled by the </w:t>
      </w:r>
      <w:r w:rsidR="00943806">
        <w:rPr>
          <w:rFonts w:ascii="Microsoft YaHei UI" w:eastAsia="Microsoft YaHei UI" w:hAnsi="Microsoft YaHei UI" w:hint="eastAsia"/>
          <w:color w:val="000000" w:themeColor="text1"/>
          <w:sz w:val="22"/>
          <w:szCs w:val="22"/>
        </w:rPr>
        <w:t xml:space="preserve">researched </w:t>
      </w:r>
      <w:r w:rsidRPr="007F5F9B">
        <w:rPr>
          <w:rFonts w:ascii="Microsoft YaHei UI" w:eastAsia="Microsoft YaHei UI" w:hAnsi="Microsoft YaHei UI"/>
          <w:color w:val="000000" w:themeColor="text1"/>
          <w:sz w:val="22"/>
          <w:szCs w:val="22"/>
        </w:rPr>
        <w:t>company, including its own factories, stores and warehouses, as well as its subsidiaries and branches.</w:t>
      </w:r>
    </w:p>
    <w:p w14:paraId="6C8D321D" w14:textId="77777777" w:rsidR="00EE1C12" w:rsidRPr="007F5F9B" w:rsidRDefault="00EE1C12" w:rsidP="000E6056">
      <w:pPr>
        <w:rPr>
          <w:rFonts w:ascii="Microsoft YaHei UI" w:eastAsia="Microsoft YaHei UI" w:hAnsi="Microsoft YaHei UI"/>
          <w:color w:val="000000" w:themeColor="text1"/>
          <w:sz w:val="22"/>
          <w:szCs w:val="22"/>
        </w:rPr>
      </w:pPr>
    </w:p>
    <w:p w14:paraId="7FC870FA"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 xml:space="preserve">蔚蓝生态链 Blue </w:t>
      </w:r>
      <w:proofErr w:type="spellStart"/>
      <w:r w:rsidRPr="007F5F9B">
        <w:rPr>
          <w:rFonts w:ascii="Microsoft YaHei UI" w:eastAsia="Microsoft YaHei UI" w:hAnsi="Microsoft YaHei UI" w:cs="Times New Roman"/>
          <w:b/>
          <w:bCs/>
          <w:color w:val="000000" w:themeColor="text1"/>
          <w:sz w:val="22"/>
          <w:szCs w:val="22"/>
        </w:rPr>
        <w:t>EcoChain</w:t>
      </w:r>
      <w:proofErr w:type="spellEnd"/>
      <w:r w:rsidRPr="007F5F9B">
        <w:rPr>
          <w:rFonts w:ascii="Microsoft YaHei UI" w:eastAsia="Microsoft YaHei UI" w:hAnsi="Microsoft YaHei UI" w:cs="Times New Roman"/>
          <w:b/>
          <w:bCs/>
          <w:color w:val="000000" w:themeColor="text1"/>
          <w:sz w:val="22"/>
          <w:szCs w:val="22"/>
        </w:rPr>
        <w:t>:</w:t>
      </w:r>
    </w:p>
    <w:p w14:paraId="47A31CFB"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蔚蓝生态链</w:t>
      </w:r>
      <w:r w:rsidRPr="007F5F9B">
        <w:rPr>
          <w:rStyle w:val="FootnoteReference"/>
          <w:rFonts w:ascii="Microsoft YaHei UI" w:eastAsia="Microsoft YaHei UI" w:hAnsi="Microsoft YaHei UI"/>
          <w:color w:val="000000" w:themeColor="text1"/>
          <w:sz w:val="22"/>
          <w:szCs w:val="22"/>
        </w:rPr>
        <w:footnoteReference w:id="2"/>
      </w:r>
      <w:r w:rsidRPr="007F5F9B">
        <w:rPr>
          <w:rFonts w:ascii="Microsoft YaHei UI" w:eastAsia="Microsoft YaHei UI" w:hAnsi="Microsoft YaHei UI"/>
          <w:color w:val="000000" w:themeColor="text1"/>
          <w:sz w:val="22"/>
          <w:szCs w:val="22"/>
        </w:rPr>
        <w:t>是基于蔚蓝地图数据库和AI技术的管理工具，可以协助多方实现环境和气候风险的闭环管理，包括及时</w:t>
      </w:r>
      <w:r w:rsidRPr="007F5F9B">
        <w:rPr>
          <w:rFonts w:ascii="Microsoft YaHei UI" w:eastAsia="Microsoft YaHei UI" w:hAnsi="Microsoft YaHei UI"/>
          <w:color w:val="000000" w:themeColor="text1"/>
          <w:sz w:val="22"/>
          <w:szCs w:val="22"/>
          <w:lang w:eastAsia="zh-Hans"/>
        </w:rPr>
        <w:t>将</w:t>
      </w:r>
      <w:r w:rsidRPr="007F5F9B">
        <w:rPr>
          <w:rFonts w:ascii="Microsoft YaHei UI" w:eastAsia="Microsoft YaHei UI" w:hAnsi="Microsoft YaHei UI"/>
          <w:color w:val="000000" w:themeColor="text1"/>
          <w:sz w:val="22"/>
          <w:szCs w:val="22"/>
        </w:rPr>
        <w:t>供应商</w:t>
      </w:r>
      <w:r w:rsidRPr="007F5F9B">
        <w:rPr>
          <w:rFonts w:ascii="Microsoft YaHei UI" w:eastAsia="Microsoft YaHei UI" w:hAnsi="Microsoft YaHei UI"/>
          <w:color w:val="000000" w:themeColor="text1"/>
          <w:sz w:val="22"/>
          <w:szCs w:val="22"/>
          <w:lang w:eastAsia="zh-Hans"/>
        </w:rPr>
        <w:t>披露</w:t>
      </w:r>
      <w:r w:rsidRPr="007F5F9B">
        <w:rPr>
          <w:rFonts w:ascii="Microsoft YaHei UI" w:eastAsia="Microsoft YaHei UI" w:hAnsi="Microsoft YaHei UI"/>
          <w:color w:val="000000" w:themeColor="text1"/>
          <w:sz w:val="22"/>
          <w:szCs w:val="22"/>
        </w:rPr>
        <w:t>的</w:t>
      </w:r>
      <w:r w:rsidRPr="007F5F9B">
        <w:rPr>
          <w:rFonts w:ascii="Microsoft YaHei UI" w:eastAsia="Microsoft YaHei UI" w:hAnsi="Microsoft YaHei UI"/>
          <w:color w:val="000000" w:themeColor="text1"/>
          <w:sz w:val="22"/>
          <w:szCs w:val="22"/>
          <w:lang w:eastAsia="zh-Hans"/>
        </w:rPr>
        <w:t>温室气体排放数据、减排目标及减排</w:t>
      </w:r>
      <w:r w:rsidRPr="007F5F9B">
        <w:rPr>
          <w:rFonts w:ascii="Microsoft YaHei UI" w:eastAsia="Microsoft YaHei UI" w:hAnsi="Microsoft YaHei UI"/>
          <w:color w:val="000000" w:themeColor="text1"/>
          <w:sz w:val="22"/>
          <w:szCs w:val="22"/>
          <w:lang w:eastAsia="zh-Hans"/>
        </w:rPr>
        <w:lastRenderedPageBreak/>
        <w:t>进展通过</w:t>
      </w:r>
      <w:r w:rsidRPr="007F5F9B">
        <w:rPr>
          <w:rFonts w:ascii="Microsoft YaHei UI" w:eastAsia="Microsoft YaHei UI" w:hAnsi="Microsoft YaHei UI"/>
          <w:color w:val="000000" w:themeColor="text1"/>
          <w:sz w:val="22"/>
          <w:szCs w:val="22"/>
        </w:rPr>
        <w:t>邮件或手机APP推送提醒</w:t>
      </w:r>
      <w:r w:rsidRPr="007F5F9B">
        <w:rPr>
          <w:rFonts w:ascii="Microsoft YaHei UI" w:eastAsia="Microsoft YaHei UI" w:hAnsi="Microsoft YaHei UI"/>
          <w:color w:val="000000" w:themeColor="text1"/>
          <w:sz w:val="22"/>
          <w:szCs w:val="22"/>
          <w:lang w:eastAsia="zh-Hans"/>
        </w:rPr>
        <w:t>告知企业</w:t>
      </w:r>
      <w:r w:rsidRPr="007F5F9B">
        <w:rPr>
          <w:rFonts w:ascii="Microsoft YaHei UI" w:eastAsia="Microsoft YaHei UI" w:hAnsi="Microsoft YaHei UI"/>
          <w:color w:val="000000" w:themeColor="text1"/>
          <w:sz w:val="22"/>
          <w:szCs w:val="22"/>
        </w:rPr>
        <w:t>，</w:t>
      </w:r>
      <w:r w:rsidRPr="007F5F9B">
        <w:rPr>
          <w:rFonts w:ascii="Microsoft YaHei UI" w:eastAsia="Microsoft YaHei UI" w:hAnsi="Microsoft YaHei UI"/>
          <w:color w:val="000000" w:themeColor="text1"/>
          <w:sz w:val="22"/>
          <w:szCs w:val="22"/>
          <w:lang w:eastAsia="zh-Hans"/>
        </w:rPr>
        <w:t>并形成供应商碳数据分析</w:t>
      </w:r>
      <w:r w:rsidRPr="007F5F9B">
        <w:rPr>
          <w:rFonts w:ascii="Microsoft YaHei UI" w:eastAsia="Microsoft YaHei UI" w:hAnsi="Microsoft YaHei UI"/>
          <w:color w:val="000000" w:themeColor="text1"/>
          <w:sz w:val="22"/>
          <w:szCs w:val="22"/>
        </w:rPr>
        <w:t>报告。供应商用户也可以通过蔚蓝生态链进行温室气体测算和公开披露，并</w:t>
      </w:r>
      <w:r w:rsidRPr="007F5F9B">
        <w:rPr>
          <w:rFonts w:ascii="Microsoft YaHei UI" w:eastAsia="Microsoft YaHei UI" w:hAnsi="Microsoft YaHei UI"/>
          <w:color w:val="000000" w:themeColor="text1"/>
          <w:sz w:val="22"/>
          <w:szCs w:val="22"/>
          <w:lang w:eastAsia="zh-Hans"/>
        </w:rPr>
        <w:t>开展</w:t>
      </w:r>
      <w:r w:rsidRPr="007F5F9B">
        <w:rPr>
          <w:rFonts w:ascii="Microsoft YaHei UI" w:eastAsia="Microsoft YaHei UI" w:hAnsi="Microsoft YaHei UI"/>
          <w:color w:val="000000" w:themeColor="text1"/>
          <w:sz w:val="22"/>
          <w:szCs w:val="22"/>
        </w:rPr>
        <w:t>针对</w:t>
      </w:r>
      <w:r w:rsidRPr="007F5F9B">
        <w:rPr>
          <w:rFonts w:ascii="Microsoft YaHei UI" w:eastAsia="Microsoft YaHei UI" w:hAnsi="Microsoft YaHei UI"/>
          <w:color w:val="000000" w:themeColor="text1"/>
          <w:sz w:val="22"/>
          <w:szCs w:val="22"/>
          <w:lang w:eastAsia="zh-Hans"/>
        </w:rPr>
        <w:t>自身供应链的</w:t>
      </w:r>
      <w:r w:rsidRPr="007F5F9B">
        <w:rPr>
          <w:rFonts w:ascii="Microsoft YaHei UI" w:eastAsia="Microsoft YaHei UI" w:hAnsi="Microsoft YaHei UI"/>
          <w:color w:val="000000" w:themeColor="text1"/>
          <w:sz w:val="22"/>
          <w:szCs w:val="22"/>
        </w:rPr>
        <w:t>碳管理。</w:t>
      </w:r>
    </w:p>
    <w:p w14:paraId="579BB441"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Powered by IPE's Blue Map Database and AI technology, Blue EcoChain</w:t>
      </w:r>
      <w:r w:rsidRPr="007F5F9B">
        <w:rPr>
          <w:rStyle w:val="FootnoteReference"/>
          <w:rFonts w:ascii="Microsoft YaHei UI" w:eastAsia="Microsoft YaHei UI" w:hAnsi="Microsoft YaHei UI"/>
          <w:color w:val="000000" w:themeColor="text1"/>
          <w:sz w:val="22"/>
          <w:szCs w:val="22"/>
        </w:rPr>
        <w:footnoteReference w:id="3"/>
      </w:r>
      <w:r w:rsidRPr="007F5F9B">
        <w:rPr>
          <w:rFonts w:ascii="Microsoft YaHei UI" w:eastAsia="Microsoft YaHei UI" w:hAnsi="Microsoft YaHei UI"/>
          <w:color w:val="000000" w:themeColor="text1"/>
          <w:sz w:val="22"/>
          <w:szCs w:val="22"/>
        </w:rPr>
        <w:t xml:space="preserve"> provides supply chain oversight for environmental and carbon risks. </w:t>
      </w:r>
      <w:r w:rsidRPr="007F5F9B">
        <w:rPr>
          <w:rFonts w:ascii="Microsoft YaHei UI" w:eastAsia="Microsoft YaHei UI" w:hAnsi="Microsoft YaHei UI"/>
          <w:color w:val="000000" w:themeColor="text1"/>
          <w:sz w:val="22"/>
          <w:szCs w:val="22"/>
          <w:lang w:eastAsia="zh-Hans"/>
        </w:rPr>
        <w:t>I</w:t>
      </w:r>
      <w:r w:rsidRPr="007F5F9B">
        <w:rPr>
          <w:rFonts w:ascii="Microsoft YaHei UI" w:eastAsia="Microsoft YaHei UI" w:hAnsi="Microsoft YaHei UI"/>
          <w:color w:val="000000" w:themeColor="text1"/>
          <w:sz w:val="22"/>
          <w:szCs w:val="22"/>
        </w:rPr>
        <w:t>n terms of supply chain carbon management, it provides companies instantaneous updates via email or mobile app when suppliers disclose their greenhouse gas emission data, reduction targets and progress, and supplier carbon data analysis reports. It also empowers suppliers to measure and publicly disclose their greenhouse gas emission data and conduct carbon management over its own supply chains.</w:t>
      </w:r>
    </w:p>
    <w:p w14:paraId="0B5F111C" w14:textId="77777777" w:rsidR="00EE1C12" w:rsidRPr="007F5F9B" w:rsidRDefault="00EE1C12" w:rsidP="000E6056">
      <w:pPr>
        <w:rPr>
          <w:rFonts w:ascii="Microsoft YaHei UI" w:eastAsia="Microsoft YaHei UI" w:hAnsi="Microsoft YaHei UI"/>
          <w:color w:val="000000" w:themeColor="text1"/>
          <w:sz w:val="22"/>
          <w:szCs w:val="22"/>
        </w:rPr>
      </w:pPr>
    </w:p>
    <w:p w14:paraId="59201D70"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温室气体 Greenhouse Gas (GHG):</w:t>
      </w:r>
    </w:p>
    <w:p w14:paraId="4016295B"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温室气体指《京都议定书》中的七种温室气体：二氧化碳、甲烷、氧化亚氮、氢氟碳化物、全氟碳化物、六氟化硫，三氟化氮。</w:t>
      </w:r>
    </w:p>
    <w:p w14:paraId="2D3D4F77" w14:textId="45F1007E"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GHGs are the seven gases listed in the Kyoto Protocol: carbon dioxide (CO</w:t>
      </w:r>
      <w:r w:rsidRPr="007F5F9B">
        <w:rPr>
          <w:rFonts w:ascii="Microsoft YaHei UI" w:eastAsia="Microsoft YaHei UI" w:hAnsi="Microsoft YaHei UI"/>
          <w:color w:val="000000" w:themeColor="text1"/>
          <w:sz w:val="22"/>
          <w:szCs w:val="22"/>
          <w:vertAlign w:val="subscript"/>
        </w:rPr>
        <w:t>2</w:t>
      </w:r>
      <w:r w:rsidRPr="007F5F9B">
        <w:rPr>
          <w:rFonts w:ascii="Microsoft YaHei UI" w:eastAsia="Microsoft YaHei UI" w:hAnsi="Microsoft YaHei UI"/>
          <w:color w:val="000000" w:themeColor="text1"/>
          <w:sz w:val="22"/>
          <w:szCs w:val="22"/>
        </w:rPr>
        <w:t>); methane (CH</w:t>
      </w:r>
      <w:r w:rsidRPr="007F5F9B">
        <w:rPr>
          <w:rFonts w:ascii="Microsoft YaHei UI" w:eastAsia="Microsoft YaHei UI" w:hAnsi="Microsoft YaHei UI"/>
          <w:color w:val="000000" w:themeColor="text1"/>
          <w:sz w:val="22"/>
          <w:szCs w:val="22"/>
          <w:vertAlign w:val="subscript"/>
        </w:rPr>
        <w:t>4</w:t>
      </w:r>
      <w:r w:rsidRPr="007F5F9B">
        <w:rPr>
          <w:rFonts w:ascii="Microsoft YaHei UI" w:eastAsia="Microsoft YaHei UI" w:hAnsi="Microsoft YaHei UI"/>
          <w:color w:val="000000" w:themeColor="text1"/>
          <w:sz w:val="22"/>
          <w:szCs w:val="22"/>
        </w:rPr>
        <w:t>); nitrous oxide (N</w:t>
      </w:r>
      <w:r w:rsidRPr="007F5F9B">
        <w:rPr>
          <w:rFonts w:ascii="Microsoft YaHei UI" w:eastAsia="Microsoft YaHei UI" w:hAnsi="Microsoft YaHei UI"/>
          <w:color w:val="000000" w:themeColor="text1"/>
          <w:sz w:val="22"/>
          <w:szCs w:val="22"/>
          <w:vertAlign w:val="subscript"/>
        </w:rPr>
        <w:t>2</w:t>
      </w:r>
      <w:r w:rsidRPr="007F5F9B">
        <w:rPr>
          <w:rFonts w:ascii="Microsoft YaHei UI" w:eastAsia="Microsoft YaHei UI" w:hAnsi="Microsoft YaHei UI"/>
          <w:color w:val="000000" w:themeColor="text1"/>
          <w:sz w:val="22"/>
          <w:szCs w:val="22"/>
        </w:rPr>
        <w:t>O); hydrofluorocarbons (HFCs); perfluorocarbons (PFCs); sulphur hexafluoride (SF</w:t>
      </w:r>
      <w:r w:rsidRPr="007F5F9B">
        <w:rPr>
          <w:rFonts w:ascii="Microsoft YaHei UI" w:eastAsia="Microsoft YaHei UI" w:hAnsi="Microsoft YaHei UI"/>
          <w:color w:val="000000" w:themeColor="text1"/>
          <w:sz w:val="22"/>
          <w:szCs w:val="22"/>
          <w:vertAlign w:val="subscript"/>
        </w:rPr>
        <w:t>6</w:t>
      </w:r>
      <w:r w:rsidRPr="007F5F9B">
        <w:rPr>
          <w:rFonts w:ascii="Microsoft YaHei UI" w:eastAsia="Microsoft YaHei UI" w:hAnsi="Microsoft YaHei UI"/>
          <w:color w:val="000000" w:themeColor="text1"/>
          <w:sz w:val="22"/>
          <w:szCs w:val="22"/>
        </w:rPr>
        <w:t>)</w:t>
      </w:r>
      <w:r w:rsidR="00D94705" w:rsidRPr="007F5F9B">
        <w:rPr>
          <w:rFonts w:ascii="Microsoft YaHei UI" w:eastAsia="Microsoft YaHei UI" w:hAnsi="Microsoft YaHei UI"/>
          <w:color w:val="000000" w:themeColor="text1"/>
          <w:sz w:val="22"/>
          <w:szCs w:val="22"/>
        </w:rPr>
        <w:t>;</w:t>
      </w:r>
      <w:r w:rsidRPr="007F5F9B">
        <w:rPr>
          <w:rFonts w:ascii="Microsoft YaHei UI" w:eastAsia="Microsoft YaHei UI" w:hAnsi="Microsoft YaHei UI"/>
          <w:color w:val="000000" w:themeColor="text1"/>
          <w:sz w:val="22"/>
          <w:szCs w:val="22"/>
        </w:rPr>
        <w:t xml:space="preserve"> and nitrogen trifluoride (NF</w:t>
      </w:r>
      <w:r w:rsidRPr="007F5F9B">
        <w:rPr>
          <w:rFonts w:ascii="Microsoft YaHei UI" w:eastAsia="Microsoft YaHei UI" w:hAnsi="Microsoft YaHei UI"/>
          <w:color w:val="000000" w:themeColor="text1"/>
          <w:sz w:val="22"/>
          <w:szCs w:val="22"/>
          <w:vertAlign w:val="subscript"/>
        </w:rPr>
        <w:t>3</w:t>
      </w:r>
      <w:r w:rsidRPr="007F5F9B">
        <w:rPr>
          <w:rFonts w:ascii="Microsoft YaHei UI" w:eastAsia="Microsoft YaHei UI" w:hAnsi="Microsoft YaHei UI"/>
          <w:color w:val="000000" w:themeColor="text1"/>
          <w:sz w:val="22"/>
          <w:szCs w:val="22"/>
        </w:rPr>
        <w:t>).</w:t>
      </w:r>
    </w:p>
    <w:p w14:paraId="241E660B" w14:textId="77777777" w:rsidR="00EE1C12" w:rsidRDefault="00EE1C12" w:rsidP="000E6056">
      <w:pPr>
        <w:rPr>
          <w:rFonts w:ascii="Microsoft YaHei UI" w:eastAsia="Microsoft YaHei UI" w:hAnsi="Microsoft YaHei UI"/>
          <w:color w:val="000000" w:themeColor="text1"/>
          <w:sz w:val="22"/>
          <w:szCs w:val="22"/>
        </w:rPr>
      </w:pPr>
    </w:p>
    <w:p w14:paraId="1C285B09" w14:textId="77777777" w:rsidR="001D7DF4" w:rsidRPr="007F5F9B" w:rsidRDefault="001D7DF4" w:rsidP="000E6056">
      <w:pPr>
        <w:rPr>
          <w:rFonts w:ascii="Microsoft YaHei UI" w:eastAsia="Microsoft YaHei UI" w:hAnsi="Microsoft YaHei UI"/>
          <w:color w:val="000000" w:themeColor="text1"/>
          <w:sz w:val="22"/>
          <w:szCs w:val="22"/>
        </w:rPr>
      </w:pPr>
    </w:p>
    <w:p w14:paraId="3D3D775B" w14:textId="77777777" w:rsidR="00EE1C12" w:rsidRPr="006A2A77" w:rsidRDefault="00000000" w:rsidP="006A2A77">
      <w:r w:rsidRPr="007F5F9B">
        <w:rPr>
          <w:rFonts w:ascii="Microsoft YaHei UI" w:eastAsia="Microsoft YaHei UI" w:hAnsi="Microsoft YaHei UI"/>
          <w:b/>
          <w:bCs/>
          <w:color w:val="000000" w:themeColor="text1"/>
          <w:sz w:val="22"/>
          <w:szCs w:val="22"/>
        </w:rPr>
        <w:lastRenderedPageBreak/>
        <w:t xml:space="preserve">碳中和 Carbon Neutrality/Net </w:t>
      </w:r>
      <w:r w:rsidRPr="007F5F9B">
        <w:rPr>
          <w:rFonts w:ascii="Microsoft YaHei UI" w:eastAsia="Microsoft YaHei UI" w:hAnsi="Microsoft YaHei UI"/>
          <w:b/>
          <w:bCs/>
          <w:color w:val="000000" w:themeColor="text1"/>
          <w:sz w:val="22"/>
          <w:szCs w:val="22"/>
          <w:lang w:eastAsia="zh-Hans"/>
        </w:rPr>
        <w:t>Z</w:t>
      </w:r>
      <w:r w:rsidRPr="007F5F9B">
        <w:rPr>
          <w:rFonts w:ascii="Microsoft YaHei UI" w:eastAsia="Microsoft YaHei UI" w:hAnsi="Microsoft YaHei UI"/>
          <w:b/>
          <w:bCs/>
          <w:color w:val="000000" w:themeColor="text1"/>
          <w:sz w:val="22"/>
          <w:szCs w:val="22"/>
        </w:rPr>
        <w:t>ero:</w:t>
      </w:r>
    </w:p>
    <w:p w14:paraId="7A18C335" w14:textId="151F7D1D"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在</w:t>
      </w:r>
      <w:r w:rsidR="00943806">
        <w:rPr>
          <w:rFonts w:ascii="Microsoft YaHei UI" w:eastAsia="Microsoft YaHei UI" w:hAnsi="Microsoft YaHei UI" w:hint="eastAsia"/>
          <w:color w:val="000000" w:themeColor="text1"/>
          <w:sz w:val="22"/>
          <w:szCs w:val="22"/>
        </w:rPr>
        <w:t>CATI指数</w:t>
      </w:r>
      <w:r w:rsidRPr="007F5F9B">
        <w:rPr>
          <w:rFonts w:ascii="Microsoft YaHei UI" w:eastAsia="Microsoft YaHei UI" w:hAnsi="Microsoft YaHei UI"/>
          <w:color w:val="000000" w:themeColor="text1"/>
          <w:sz w:val="22"/>
          <w:szCs w:val="22"/>
        </w:rPr>
        <w:t>中</w:t>
      </w:r>
      <w:r w:rsidR="00943806">
        <w:rPr>
          <w:rFonts w:ascii="Microsoft YaHei UI" w:eastAsia="Microsoft YaHei UI" w:hAnsi="Microsoft YaHei UI" w:hint="eastAsia"/>
          <w:color w:val="000000" w:themeColor="text1"/>
          <w:sz w:val="22"/>
          <w:szCs w:val="22"/>
        </w:rPr>
        <w:t>，</w:t>
      </w:r>
      <w:r w:rsidRPr="007F5F9B">
        <w:rPr>
          <w:rFonts w:ascii="Microsoft YaHei UI" w:eastAsia="Microsoft YaHei UI" w:hAnsi="Microsoft YaHei UI"/>
          <w:color w:val="000000" w:themeColor="text1"/>
          <w:sz w:val="22"/>
          <w:szCs w:val="22"/>
          <w:lang w:eastAsia="zh-Hans"/>
        </w:rPr>
        <w:t>碳中和</w:t>
      </w:r>
      <w:r w:rsidRPr="007F5F9B">
        <w:rPr>
          <w:rFonts w:ascii="Microsoft YaHei UI" w:eastAsia="Microsoft YaHei UI" w:hAnsi="Microsoft YaHei UI"/>
          <w:color w:val="000000" w:themeColor="text1"/>
          <w:sz w:val="22"/>
          <w:szCs w:val="22"/>
        </w:rPr>
        <w:t>泛指二氧化碳</w:t>
      </w:r>
      <w:r w:rsidRPr="007F5F9B">
        <w:rPr>
          <w:rFonts w:ascii="Microsoft YaHei UI" w:eastAsia="Microsoft YaHei UI" w:hAnsi="Microsoft YaHei UI"/>
          <w:color w:val="000000" w:themeColor="text1"/>
          <w:sz w:val="22"/>
          <w:szCs w:val="22"/>
          <w:lang w:eastAsia="zh-Hans"/>
        </w:rPr>
        <w:t>或温室气体的</w:t>
      </w:r>
      <w:r w:rsidRPr="007F5F9B">
        <w:rPr>
          <w:rFonts w:ascii="Microsoft YaHei UI" w:eastAsia="Microsoft YaHei UI" w:hAnsi="Microsoft YaHei UI"/>
          <w:color w:val="000000" w:themeColor="text1"/>
          <w:sz w:val="22"/>
          <w:szCs w:val="22"/>
        </w:rPr>
        <w:t>中和</w:t>
      </w:r>
      <w:r w:rsidRPr="007F5F9B">
        <w:rPr>
          <w:rFonts w:ascii="Microsoft YaHei UI" w:eastAsia="Microsoft YaHei UI" w:hAnsi="Microsoft YaHei UI"/>
          <w:color w:val="000000" w:themeColor="text1"/>
          <w:sz w:val="22"/>
          <w:szCs w:val="22"/>
          <w:lang w:eastAsia="zh-Hans"/>
        </w:rPr>
        <w:t>或</w:t>
      </w:r>
      <w:r w:rsidRPr="007F5F9B">
        <w:rPr>
          <w:rFonts w:ascii="Microsoft YaHei UI" w:eastAsia="Microsoft YaHei UI" w:hAnsi="Microsoft YaHei UI"/>
          <w:color w:val="000000" w:themeColor="text1"/>
          <w:sz w:val="22"/>
          <w:szCs w:val="22"/>
        </w:rPr>
        <w:t>净零排放，指国家、企业、产品、活动或个人在一定时间内，</w:t>
      </w:r>
      <w:r w:rsidRPr="007F5F9B">
        <w:rPr>
          <w:rFonts w:ascii="Microsoft YaHei UI" w:eastAsia="Microsoft YaHei UI" w:hAnsi="Microsoft YaHei UI"/>
          <w:color w:val="000000" w:themeColor="text1"/>
          <w:sz w:val="22"/>
          <w:szCs w:val="22"/>
          <w:lang w:eastAsia="zh-Hans"/>
        </w:rPr>
        <w:t>人类活动</w:t>
      </w:r>
      <w:r w:rsidRPr="007F5F9B">
        <w:rPr>
          <w:rFonts w:ascii="Microsoft YaHei UI" w:eastAsia="Microsoft YaHei UI" w:hAnsi="Microsoft YaHei UI"/>
          <w:color w:val="000000" w:themeColor="text1"/>
          <w:sz w:val="22"/>
          <w:szCs w:val="22"/>
        </w:rPr>
        <w:t>产生的二氧化碳或温室气体排放总量</w:t>
      </w:r>
      <w:r w:rsidRPr="007F5F9B">
        <w:rPr>
          <w:rFonts w:ascii="Microsoft YaHei UI" w:eastAsia="Microsoft YaHei UI" w:hAnsi="Microsoft YaHei UI"/>
          <w:color w:val="000000" w:themeColor="text1"/>
          <w:sz w:val="22"/>
          <w:szCs w:val="22"/>
          <w:lang w:eastAsia="zh-Hans"/>
        </w:rPr>
        <w:t>与碳清除量达到平衡</w:t>
      </w:r>
      <w:r w:rsidRPr="007F5F9B">
        <w:rPr>
          <w:rFonts w:ascii="Microsoft YaHei UI" w:eastAsia="Microsoft YaHei UI" w:hAnsi="Microsoft YaHei UI"/>
          <w:color w:val="000000" w:themeColor="text1"/>
          <w:sz w:val="22"/>
          <w:szCs w:val="22"/>
        </w:rPr>
        <w:t>，实现正负抵消，达到相对“零排放”。</w:t>
      </w:r>
    </w:p>
    <w:p w14:paraId="2305D0B3" w14:textId="78BD4D21"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 xml:space="preserve">In </w:t>
      </w:r>
      <w:r w:rsidR="00943806">
        <w:rPr>
          <w:rFonts w:ascii="Microsoft YaHei UI" w:eastAsia="Microsoft YaHei UI" w:hAnsi="Microsoft YaHei UI" w:hint="eastAsia"/>
          <w:color w:val="000000" w:themeColor="text1"/>
          <w:sz w:val="22"/>
          <w:szCs w:val="22"/>
        </w:rPr>
        <w:t xml:space="preserve">the </w:t>
      </w:r>
      <w:r w:rsidRPr="007F5F9B">
        <w:rPr>
          <w:rFonts w:ascii="Microsoft YaHei UI" w:eastAsia="Microsoft YaHei UI" w:hAnsi="Microsoft YaHei UI"/>
          <w:color w:val="000000" w:themeColor="text1"/>
          <w:sz w:val="22"/>
          <w:szCs w:val="22"/>
        </w:rPr>
        <w:t>CATI</w:t>
      </w:r>
      <w:r w:rsidR="00943806">
        <w:rPr>
          <w:rFonts w:ascii="Microsoft YaHei UI" w:eastAsia="Microsoft YaHei UI" w:hAnsi="Microsoft YaHei UI" w:hint="eastAsia"/>
          <w:color w:val="000000" w:themeColor="text1"/>
          <w:sz w:val="22"/>
          <w:szCs w:val="22"/>
        </w:rPr>
        <w:t xml:space="preserve"> </w:t>
      </w:r>
      <w:r w:rsidR="00463C73">
        <w:rPr>
          <w:rFonts w:ascii="Microsoft YaHei UI" w:eastAsia="Microsoft YaHei UI" w:hAnsi="Microsoft YaHei UI" w:hint="eastAsia"/>
          <w:color w:val="000000" w:themeColor="text1"/>
          <w:sz w:val="22"/>
          <w:szCs w:val="22"/>
        </w:rPr>
        <w:t>I</w:t>
      </w:r>
      <w:r w:rsidR="00943806">
        <w:rPr>
          <w:rFonts w:ascii="Microsoft YaHei UI" w:eastAsia="Microsoft YaHei UI" w:hAnsi="Microsoft YaHei UI" w:hint="eastAsia"/>
          <w:color w:val="000000" w:themeColor="text1"/>
          <w:sz w:val="22"/>
          <w:szCs w:val="22"/>
        </w:rPr>
        <w:t>ndex</w:t>
      </w:r>
      <w:r w:rsidRPr="007F5F9B">
        <w:rPr>
          <w:rFonts w:ascii="Microsoft YaHei UI" w:eastAsia="Microsoft YaHei UI" w:hAnsi="Microsoft YaHei UI"/>
          <w:color w:val="000000" w:themeColor="text1"/>
          <w:sz w:val="22"/>
          <w:szCs w:val="22"/>
        </w:rPr>
        <w:t>, carbon neutrality is a state of net-zero carbon dioxide/greenhouse gase</w:t>
      </w:r>
      <w:r w:rsidRPr="007F5F9B">
        <w:rPr>
          <w:rFonts w:ascii="Microsoft YaHei UI" w:eastAsia="Microsoft YaHei UI" w:hAnsi="Microsoft YaHei UI"/>
          <w:color w:val="000000" w:themeColor="text1"/>
          <w:sz w:val="22"/>
          <w:szCs w:val="22"/>
          <w:lang w:eastAsia="zh-Hans"/>
        </w:rPr>
        <w:t>s</w:t>
      </w:r>
      <w:r w:rsidRPr="007F5F9B">
        <w:rPr>
          <w:rFonts w:ascii="Microsoft YaHei UI" w:eastAsia="Microsoft YaHei UI" w:hAnsi="Microsoft YaHei UI"/>
          <w:color w:val="000000" w:themeColor="text1"/>
          <w:sz w:val="22"/>
          <w:szCs w:val="22"/>
        </w:rPr>
        <w:t xml:space="preserve"> emissions. This can be achieved when anthropogenic emissions of carbon dioxide/greenhouse gases to the atmosphere are balanced by anthropogenic removals over a specified period.</w:t>
      </w:r>
    </w:p>
    <w:p w14:paraId="31243407" w14:textId="77777777" w:rsidR="00EE1C12" w:rsidRPr="007F5F9B" w:rsidRDefault="00EE1C12" w:rsidP="000E6056">
      <w:pPr>
        <w:rPr>
          <w:rFonts w:ascii="Microsoft YaHei UI" w:eastAsia="Microsoft YaHei UI" w:hAnsi="Microsoft YaHei UI"/>
          <w:color w:val="000000" w:themeColor="text1"/>
          <w:sz w:val="22"/>
          <w:szCs w:val="22"/>
        </w:rPr>
      </w:pPr>
    </w:p>
    <w:p w14:paraId="54ECB194"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范围一排放 Scope 1:</w:t>
      </w:r>
    </w:p>
    <w:p w14:paraId="17656E15"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企业</w:t>
      </w:r>
      <w:r w:rsidRPr="007F5F9B">
        <w:rPr>
          <w:rFonts w:ascii="Microsoft YaHei UI" w:eastAsia="Microsoft YaHei UI" w:hAnsi="Microsoft YaHei UI"/>
          <w:color w:val="000000" w:themeColor="text1"/>
          <w:sz w:val="22"/>
          <w:szCs w:val="22"/>
          <w:lang w:eastAsia="zh-Hans"/>
        </w:rPr>
        <w:t>拥有或控制的排放源产生的</w:t>
      </w:r>
      <w:r w:rsidRPr="007F5F9B">
        <w:rPr>
          <w:rFonts w:ascii="Microsoft YaHei UI" w:eastAsia="Microsoft YaHei UI" w:hAnsi="Microsoft YaHei UI"/>
          <w:color w:val="000000" w:themeColor="text1"/>
          <w:sz w:val="22"/>
          <w:szCs w:val="22"/>
        </w:rPr>
        <w:t>直接温室气体</w:t>
      </w:r>
      <w:r w:rsidRPr="007F5F9B">
        <w:rPr>
          <w:rFonts w:ascii="Microsoft YaHei UI" w:eastAsia="Microsoft YaHei UI" w:hAnsi="Microsoft YaHei UI"/>
          <w:color w:val="000000" w:themeColor="text1"/>
          <w:sz w:val="22"/>
          <w:szCs w:val="22"/>
          <w:lang w:eastAsia="zh-Hans"/>
        </w:rPr>
        <w:t>排放</w:t>
      </w:r>
      <w:r w:rsidRPr="007F5F9B">
        <w:rPr>
          <w:rFonts w:ascii="Microsoft YaHei UI" w:eastAsia="Microsoft YaHei UI" w:hAnsi="Microsoft YaHei UI"/>
          <w:color w:val="000000" w:themeColor="text1"/>
          <w:sz w:val="22"/>
          <w:szCs w:val="22"/>
        </w:rPr>
        <w:t>。</w:t>
      </w:r>
    </w:p>
    <w:p w14:paraId="293CE403"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Emissions from operations that are owned or controlled by the reporting company.</w:t>
      </w:r>
    </w:p>
    <w:p w14:paraId="20040C67" w14:textId="77777777" w:rsidR="00EE1C12" w:rsidRPr="007F5F9B" w:rsidRDefault="00EE1C12" w:rsidP="000E6056">
      <w:pPr>
        <w:rPr>
          <w:rFonts w:ascii="Microsoft YaHei UI" w:eastAsia="Microsoft YaHei UI" w:hAnsi="Microsoft YaHei UI"/>
          <w:color w:val="000000" w:themeColor="text1"/>
          <w:sz w:val="22"/>
          <w:szCs w:val="22"/>
        </w:rPr>
      </w:pPr>
    </w:p>
    <w:p w14:paraId="565C7F91"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范围二排放 Scope 2:</w:t>
      </w:r>
    </w:p>
    <w:p w14:paraId="3596C7B3"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企业</w:t>
      </w:r>
      <w:r w:rsidRPr="007F5F9B">
        <w:rPr>
          <w:rFonts w:ascii="Microsoft YaHei UI" w:eastAsia="Microsoft YaHei UI" w:hAnsi="Microsoft YaHei UI"/>
          <w:color w:val="000000" w:themeColor="text1"/>
          <w:sz w:val="22"/>
          <w:szCs w:val="22"/>
          <w:lang w:eastAsia="zh-Hans"/>
        </w:rPr>
        <w:t>使用</w:t>
      </w:r>
      <w:r w:rsidRPr="007F5F9B">
        <w:rPr>
          <w:rFonts w:ascii="Microsoft YaHei UI" w:eastAsia="Microsoft YaHei UI" w:hAnsi="Microsoft YaHei UI"/>
          <w:color w:val="000000" w:themeColor="text1"/>
          <w:sz w:val="22"/>
          <w:szCs w:val="22"/>
        </w:rPr>
        <w:t>外购电力、供热/制冷，或蒸汽产生的间接</w:t>
      </w:r>
      <w:r w:rsidRPr="007F5F9B">
        <w:rPr>
          <w:rFonts w:ascii="Microsoft YaHei UI" w:eastAsia="Microsoft YaHei UI" w:hAnsi="Microsoft YaHei UI"/>
          <w:color w:val="000000" w:themeColor="text1"/>
          <w:sz w:val="22"/>
          <w:szCs w:val="22"/>
          <w:lang w:eastAsia="zh-Hans"/>
        </w:rPr>
        <w:t>温室气体</w:t>
      </w:r>
      <w:r w:rsidRPr="007F5F9B">
        <w:rPr>
          <w:rFonts w:ascii="Microsoft YaHei UI" w:eastAsia="Microsoft YaHei UI" w:hAnsi="Microsoft YaHei UI"/>
          <w:color w:val="000000" w:themeColor="text1"/>
          <w:sz w:val="22"/>
          <w:szCs w:val="22"/>
        </w:rPr>
        <w:t>排放。</w:t>
      </w:r>
    </w:p>
    <w:p w14:paraId="7477F8B0"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Emissions from the generation of purchased or acquired electricity, steam, heating or cooling consumed by the reporting company.</w:t>
      </w:r>
    </w:p>
    <w:p w14:paraId="398C6FE6" w14:textId="77777777" w:rsidR="00EE1C12" w:rsidRDefault="00EE1C12" w:rsidP="000E6056">
      <w:pPr>
        <w:rPr>
          <w:rFonts w:ascii="Microsoft YaHei UI" w:eastAsia="Microsoft YaHei UI" w:hAnsi="Microsoft YaHei UI"/>
          <w:color w:val="000000" w:themeColor="text1"/>
          <w:sz w:val="22"/>
          <w:szCs w:val="22"/>
        </w:rPr>
      </w:pPr>
    </w:p>
    <w:p w14:paraId="518858F2" w14:textId="77777777" w:rsidR="001D7DF4" w:rsidRDefault="001D7DF4" w:rsidP="000E6056">
      <w:pPr>
        <w:rPr>
          <w:rFonts w:ascii="Microsoft YaHei UI" w:eastAsia="Microsoft YaHei UI" w:hAnsi="Microsoft YaHei UI"/>
          <w:color w:val="000000" w:themeColor="text1"/>
          <w:sz w:val="22"/>
          <w:szCs w:val="22"/>
        </w:rPr>
      </w:pPr>
    </w:p>
    <w:p w14:paraId="1BCA397C" w14:textId="77777777" w:rsidR="001D7DF4" w:rsidRDefault="001D7DF4" w:rsidP="000E6056">
      <w:pPr>
        <w:rPr>
          <w:rFonts w:ascii="Microsoft YaHei UI" w:eastAsia="Microsoft YaHei UI" w:hAnsi="Microsoft YaHei UI"/>
          <w:color w:val="000000" w:themeColor="text1"/>
          <w:sz w:val="22"/>
          <w:szCs w:val="22"/>
        </w:rPr>
      </w:pPr>
    </w:p>
    <w:p w14:paraId="4268288E" w14:textId="77777777" w:rsidR="001D7DF4" w:rsidRPr="007F5F9B" w:rsidRDefault="001D7DF4" w:rsidP="000E6056">
      <w:pPr>
        <w:rPr>
          <w:rFonts w:ascii="Microsoft YaHei UI" w:eastAsia="Microsoft YaHei UI" w:hAnsi="Microsoft YaHei UI"/>
          <w:color w:val="000000" w:themeColor="text1"/>
          <w:sz w:val="22"/>
          <w:szCs w:val="22"/>
        </w:rPr>
      </w:pPr>
    </w:p>
    <w:p w14:paraId="5BAD9D0D"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lastRenderedPageBreak/>
        <w:t>范围三排放 Scope 3:</w:t>
      </w:r>
    </w:p>
    <w:p w14:paraId="2E6ED50A"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范围二以外的其他间接温室气体排放。范围三的排放是一家公司活动的结果，但并不是产生于该公司拥有或控制的排放源。例如，开采和生产采购的原料、运输采购的燃料，以及售出产品和服务的使用。</w:t>
      </w:r>
    </w:p>
    <w:p w14:paraId="6CEFA7E3"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 xml:space="preserve">All indirect emissions (not included in scope 2) that occur in the value chain of the reporting company, including both upstream and downstream emissions. Some examples of scope 3 activities are extraction and production of purchased materials; transportation of purchased fuels; and use of sold products and services. </w:t>
      </w:r>
    </w:p>
    <w:p w14:paraId="4108A5B4" w14:textId="77777777" w:rsidR="00EE1C12" w:rsidRPr="007F5F9B" w:rsidRDefault="00EE1C12" w:rsidP="000E6056">
      <w:pPr>
        <w:rPr>
          <w:rFonts w:ascii="Microsoft YaHei UI" w:eastAsia="Microsoft YaHei UI" w:hAnsi="Microsoft YaHei UI"/>
          <w:color w:val="000000" w:themeColor="text1"/>
          <w:sz w:val="22"/>
          <w:szCs w:val="22"/>
        </w:rPr>
      </w:pPr>
    </w:p>
    <w:p w14:paraId="03C9B5FF"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价值链 Value Chain:</w:t>
      </w:r>
    </w:p>
    <w:p w14:paraId="6C57B5AD"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在本指标体系中，价值链指与报告企业运营相关的上游/下游活动，包括产品使用阶段和产品报废处理。</w:t>
      </w:r>
    </w:p>
    <w:p w14:paraId="1869A24E" w14:textId="2F115FD6"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In the CATI</w:t>
      </w:r>
      <w:r w:rsidR="00943806">
        <w:rPr>
          <w:rFonts w:ascii="Microsoft YaHei UI" w:eastAsia="Microsoft YaHei UI" w:hAnsi="Microsoft YaHei UI" w:hint="eastAsia"/>
          <w:color w:val="000000" w:themeColor="text1"/>
          <w:sz w:val="22"/>
          <w:szCs w:val="22"/>
        </w:rPr>
        <w:t xml:space="preserve"> </w:t>
      </w:r>
      <w:r w:rsidR="00463C73">
        <w:rPr>
          <w:rFonts w:ascii="Microsoft YaHei UI" w:eastAsia="Microsoft YaHei UI" w:hAnsi="Microsoft YaHei UI" w:hint="eastAsia"/>
          <w:color w:val="000000" w:themeColor="text1"/>
          <w:sz w:val="22"/>
          <w:szCs w:val="22"/>
        </w:rPr>
        <w:t>I</w:t>
      </w:r>
      <w:r w:rsidR="00943806">
        <w:rPr>
          <w:rFonts w:ascii="Microsoft YaHei UI" w:eastAsia="Microsoft YaHei UI" w:hAnsi="Microsoft YaHei UI" w:hint="eastAsia"/>
          <w:color w:val="000000" w:themeColor="text1"/>
          <w:sz w:val="22"/>
          <w:szCs w:val="22"/>
        </w:rPr>
        <w:t>ndex</w:t>
      </w:r>
      <w:r w:rsidRPr="007F5F9B">
        <w:rPr>
          <w:rFonts w:ascii="Microsoft YaHei UI" w:eastAsia="Microsoft YaHei UI" w:hAnsi="Microsoft YaHei UI"/>
          <w:color w:val="000000" w:themeColor="text1"/>
          <w:sz w:val="22"/>
          <w:szCs w:val="22"/>
        </w:rPr>
        <w:t xml:space="preserve">, “value chain” refers to </w:t>
      </w:r>
      <w:proofErr w:type="gramStart"/>
      <w:r w:rsidRPr="007F5F9B">
        <w:rPr>
          <w:rFonts w:ascii="Microsoft YaHei UI" w:eastAsia="Microsoft YaHei UI" w:hAnsi="Microsoft YaHei UI"/>
          <w:color w:val="000000" w:themeColor="text1"/>
          <w:sz w:val="22"/>
          <w:szCs w:val="22"/>
        </w:rPr>
        <w:t>all of</w:t>
      </w:r>
      <w:proofErr w:type="gramEnd"/>
      <w:r w:rsidRPr="007F5F9B">
        <w:rPr>
          <w:rFonts w:ascii="Microsoft YaHei UI" w:eastAsia="Microsoft YaHei UI" w:hAnsi="Microsoft YaHei UI"/>
          <w:color w:val="000000" w:themeColor="text1"/>
          <w:sz w:val="22"/>
          <w:szCs w:val="22"/>
        </w:rPr>
        <w:t xml:space="preserve"> the upstream and downstream activities associated with the operations of the reporting company, including the use of sold products by consumers and the end-of-life treatment of sold products after consumer use.</w:t>
      </w:r>
    </w:p>
    <w:p w14:paraId="278447B4" w14:textId="77777777" w:rsidR="00EE1C12" w:rsidRPr="007F5F9B" w:rsidRDefault="00EE1C12" w:rsidP="000E6056">
      <w:pPr>
        <w:rPr>
          <w:rFonts w:ascii="Microsoft YaHei UI" w:eastAsia="Microsoft YaHei UI" w:hAnsi="Microsoft YaHei UI"/>
          <w:color w:val="000000" w:themeColor="text1"/>
          <w:sz w:val="22"/>
          <w:szCs w:val="22"/>
        </w:rPr>
      </w:pPr>
    </w:p>
    <w:p w14:paraId="18BF952B"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rPr>
        <w:t>碳强度 Carbon Intensity:</w:t>
      </w:r>
    </w:p>
    <w:p w14:paraId="08CA3EC2"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表示每单位物理活动或经济价值产生的温室气体影响（例如，单位发电产生的CO</w:t>
      </w:r>
      <w:r w:rsidRPr="007F5F9B">
        <w:rPr>
          <w:rFonts w:ascii="Microsoft YaHei UI" w:eastAsia="Microsoft YaHei UI" w:hAnsi="Microsoft YaHei UI"/>
          <w:color w:val="000000" w:themeColor="text1"/>
          <w:sz w:val="22"/>
          <w:szCs w:val="22"/>
          <w:vertAlign w:val="subscript"/>
        </w:rPr>
        <w:t>2</w:t>
      </w:r>
      <w:r w:rsidRPr="007F5F9B">
        <w:rPr>
          <w:rFonts w:ascii="Microsoft YaHei UI" w:eastAsia="Microsoft YaHei UI" w:hAnsi="Microsoft YaHei UI"/>
          <w:color w:val="000000" w:themeColor="text1"/>
          <w:sz w:val="22"/>
          <w:szCs w:val="22"/>
        </w:rPr>
        <w:t>排放量）。</w:t>
      </w:r>
    </w:p>
    <w:p w14:paraId="51D64B6D"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lastRenderedPageBreak/>
        <w:t>Ratios that express GHG impact per unit of physical activity or unit of economic value (e.g. tonnes of CO</w:t>
      </w:r>
      <w:r w:rsidRPr="007F5F9B">
        <w:rPr>
          <w:rFonts w:ascii="Microsoft YaHei UI" w:eastAsia="Microsoft YaHei UI" w:hAnsi="Microsoft YaHei UI"/>
          <w:color w:val="000000" w:themeColor="text1"/>
          <w:sz w:val="22"/>
          <w:szCs w:val="22"/>
          <w:vertAlign w:val="subscript"/>
        </w:rPr>
        <w:t>2</w:t>
      </w:r>
      <w:r w:rsidRPr="007F5F9B">
        <w:rPr>
          <w:rFonts w:ascii="Microsoft YaHei UI" w:eastAsia="Microsoft YaHei UI" w:hAnsi="Microsoft YaHei UI"/>
          <w:color w:val="000000" w:themeColor="text1"/>
          <w:sz w:val="22"/>
          <w:szCs w:val="22"/>
        </w:rPr>
        <w:t xml:space="preserve"> emissions per unit of electricity generated). </w:t>
      </w:r>
    </w:p>
    <w:p w14:paraId="25188238" w14:textId="77777777" w:rsidR="00EE1C12" w:rsidRPr="007F5F9B" w:rsidRDefault="00EE1C12" w:rsidP="000E6056">
      <w:pPr>
        <w:rPr>
          <w:rFonts w:ascii="Microsoft YaHei UI" w:eastAsia="Microsoft YaHei UI" w:hAnsi="Microsoft YaHei UI"/>
          <w:color w:val="000000" w:themeColor="text1"/>
          <w:sz w:val="22"/>
          <w:szCs w:val="22"/>
        </w:rPr>
      </w:pPr>
    </w:p>
    <w:p w14:paraId="38486E38"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lang w:eastAsia="zh-Hans"/>
        </w:rPr>
      </w:pPr>
      <w:r w:rsidRPr="007F5F9B">
        <w:rPr>
          <w:rFonts w:ascii="Microsoft YaHei UI" w:eastAsia="Microsoft YaHei UI" w:hAnsi="Microsoft YaHei UI" w:cs="Times New Roman"/>
          <w:b/>
          <w:bCs/>
          <w:color w:val="000000" w:themeColor="text1"/>
          <w:sz w:val="22"/>
          <w:szCs w:val="22"/>
          <w:lang w:eastAsia="zh-Hans"/>
        </w:rPr>
        <w:t>产品碳足迹 Product Carbon Footprint:</w:t>
      </w:r>
    </w:p>
    <w:p w14:paraId="4DB925F2" w14:textId="77777777" w:rsidR="00EE1C12" w:rsidRPr="007F5F9B" w:rsidRDefault="00000000" w:rsidP="000E6056">
      <w:pPr>
        <w:rPr>
          <w:rFonts w:ascii="Microsoft YaHei UI" w:eastAsia="Microsoft YaHei UI" w:hAnsi="Microsoft YaHei UI"/>
          <w:color w:val="000000" w:themeColor="text1"/>
          <w:sz w:val="22"/>
          <w:szCs w:val="22"/>
          <w:lang w:eastAsia="zh-Hans"/>
        </w:rPr>
      </w:pPr>
      <w:r w:rsidRPr="007F5F9B">
        <w:rPr>
          <w:rFonts w:ascii="Microsoft YaHei UI" w:eastAsia="Microsoft YaHei UI" w:hAnsi="Microsoft YaHei UI"/>
          <w:color w:val="000000" w:themeColor="text1"/>
          <w:sz w:val="22"/>
          <w:szCs w:val="22"/>
          <w:lang w:eastAsia="zh-Hans"/>
        </w:rPr>
        <w:t>产品体系中的温室气体排放量和温室气体清除量之和，以二氧化碳当量为单位表示，基于使用气候变化单一影响类别的生命周期评价。</w:t>
      </w:r>
    </w:p>
    <w:p w14:paraId="52F19951" w14:textId="77777777" w:rsidR="00EE1C12" w:rsidRPr="007F5F9B" w:rsidRDefault="00000000" w:rsidP="000E6056">
      <w:pPr>
        <w:rPr>
          <w:rFonts w:ascii="Microsoft YaHei UI" w:eastAsia="Microsoft YaHei UI" w:hAnsi="Microsoft YaHei UI"/>
          <w:color w:val="000000" w:themeColor="text1"/>
          <w:sz w:val="22"/>
          <w:szCs w:val="22"/>
          <w:lang w:eastAsia="zh-Hans"/>
        </w:rPr>
      </w:pPr>
      <w:r w:rsidRPr="007F5F9B">
        <w:rPr>
          <w:rFonts w:ascii="Microsoft YaHei UI" w:eastAsia="Microsoft YaHei UI" w:hAnsi="Microsoft YaHei UI"/>
          <w:color w:val="000000" w:themeColor="text1"/>
          <w:sz w:val="22"/>
          <w:szCs w:val="22"/>
          <w:lang w:eastAsia="zh-Hans"/>
        </w:rPr>
        <w:t>Sum of GHG emissions and GHG removals in a product system, expressed as carbon dioxide equivalents and based on a life cycle assessment.</w:t>
      </w:r>
    </w:p>
    <w:p w14:paraId="1993A18E" w14:textId="77777777" w:rsidR="00EE1C12" w:rsidRPr="007F5F9B" w:rsidRDefault="00EE1C12" w:rsidP="000E6056">
      <w:pPr>
        <w:rPr>
          <w:rFonts w:ascii="Microsoft YaHei UI" w:eastAsia="Microsoft YaHei UI" w:hAnsi="Microsoft YaHei UI"/>
          <w:color w:val="000000" w:themeColor="text1"/>
          <w:sz w:val="22"/>
          <w:szCs w:val="22"/>
          <w:lang w:eastAsia="zh-Hans"/>
        </w:rPr>
      </w:pPr>
    </w:p>
    <w:p w14:paraId="4FA971FE"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lang w:eastAsia="zh-Hans"/>
        </w:rPr>
      </w:pPr>
      <w:r w:rsidRPr="007F5F9B">
        <w:rPr>
          <w:rFonts w:ascii="Microsoft YaHei UI" w:eastAsia="Microsoft YaHei UI" w:hAnsi="Microsoft YaHei UI" w:cs="Times New Roman"/>
          <w:b/>
          <w:bCs/>
          <w:color w:val="000000" w:themeColor="text1"/>
          <w:sz w:val="22"/>
          <w:szCs w:val="22"/>
          <w:lang w:eastAsia="zh-Hans"/>
        </w:rPr>
        <w:t>生命周期 Life Cycle:</w:t>
      </w:r>
    </w:p>
    <w:p w14:paraId="3286F9F6" w14:textId="77777777" w:rsidR="00EE1C12" w:rsidRPr="007F5F9B" w:rsidRDefault="00000000" w:rsidP="000E6056">
      <w:pPr>
        <w:rPr>
          <w:rFonts w:ascii="Microsoft YaHei UI" w:eastAsia="Microsoft YaHei UI" w:hAnsi="Microsoft YaHei UI"/>
          <w:color w:val="000000" w:themeColor="text1"/>
          <w:sz w:val="22"/>
          <w:szCs w:val="22"/>
          <w:lang w:eastAsia="zh-Hans"/>
        </w:rPr>
      </w:pPr>
      <w:r w:rsidRPr="007F5F9B">
        <w:rPr>
          <w:rFonts w:ascii="Microsoft YaHei UI" w:eastAsia="Microsoft YaHei UI" w:hAnsi="Microsoft YaHei UI"/>
          <w:color w:val="000000" w:themeColor="text1"/>
          <w:sz w:val="22"/>
          <w:szCs w:val="22"/>
          <w:lang w:eastAsia="zh-Hans"/>
        </w:rPr>
        <w:t>与产品相关的连续且相互关联的阶段，包括从原材料获取或从自然资源生产到寿命终止处理。</w:t>
      </w:r>
    </w:p>
    <w:p w14:paraId="7F30204A" w14:textId="77777777" w:rsidR="00EE1C12" w:rsidRPr="007F5F9B" w:rsidRDefault="00000000" w:rsidP="000E6056">
      <w:pPr>
        <w:rPr>
          <w:rFonts w:ascii="Microsoft YaHei UI" w:eastAsia="Microsoft YaHei UI" w:hAnsi="Microsoft YaHei UI"/>
          <w:color w:val="000000" w:themeColor="text1"/>
          <w:sz w:val="22"/>
          <w:szCs w:val="22"/>
          <w:lang w:eastAsia="zh-Hans"/>
        </w:rPr>
      </w:pPr>
      <w:r w:rsidRPr="007F5F9B">
        <w:rPr>
          <w:rFonts w:ascii="Microsoft YaHei UI" w:eastAsia="Microsoft YaHei UI" w:hAnsi="Microsoft YaHei UI"/>
          <w:color w:val="000000" w:themeColor="text1"/>
          <w:sz w:val="22"/>
          <w:szCs w:val="22"/>
          <w:lang w:eastAsia="zh-Hans"/>
        </w:rPr>
        <w:t>Consecutive and interlinked stages related to a product, beginning from raw material acquisition or generation from natural resources to end-of-life treatment.</w:t>
      </w:r>
    </w:p>
    <w:p w14:paraId="6759DC0C" w14:textId="77777777" w:rsidR="001D7DF4" w:rsidRPr="007F5F9B" w:rsidRDefault="001D7DF4" w:rsidP="000E6056">
      <w:pPr>
        <w:rPr>
          <w:rFonts w:ascii="Microsoft YaHei UI" w:eastAsia="Microsoft YaHei UI" w:hAnsi="Microsoft YaHei UI"/>
          <w:color w:val="000000" w:themeColor="text1"/>
          <w:sz w:val="22"/>
          <w:szCs w:val="22"/>
        </w:rPr>
      </w:pPr>
    </w:p>
    <w:p w14:paraId="07053870" w14:textId="77777777" w:rsidR="00EE1C12" w:rsidRPr="007F5F9B" w:rsidRDefault="00000000" w:rsidP="000E6056">
      <w:pPr>
        <w:pStyle w:val="ListParagraph"/>
        <w:widowControl/>
        <w:numPr>
          <w:ilvl w:val="0"/>
          <w:numId w:val="3"/>
        </w:numPr>
        <w:rPr>
          <w:rFonts w:ascii="Microsoft YaHei UI" w:eastAsia="Microsoft YaHei UI" w:hAnsi="Microsoft YaHei UI" w:cs="Times New Roman"/>
          <w:b/>
          <w:bCs/>
          <w:color w:val="000000" w:themeColor="text1"/>
          <w:sz w:val="22"/>
          <w:szCs w:val="22"/>
        </w:rPr>
      </w:pPr>
      <w:r w:rsidRPr="007F5F9B">
        <w:rPr>
          <w:rFonts w:ascii="Microsoft YaHei UI" w:eastAsia="Microsoft YaHei UI" w:hAnsi="Microsoft YaHei UI" w:cs="Times New Roman"/>
          <w:b/>
          <w:bCs/>
          <w:color w:val="000000" w:themeColor="text1"/>
          <w:sz w:val="22"/>
          <w:szCs w:val="22"/>
          <w:lang w:eastAsia="zh-Hans"/>
        </w:rPr>
        <w:t xml:space="preserve">碳配额 Carbon </w:t>
      </w:r>
      <w:r w:rsidRPr="007F5F9B">
        <w:rPr>
          <w:rFonts w:ascii="Microsoft YaHei UI" w:eastAsia="Microsoft YaHei UI" w:hAnsi="Microsoft YaHei UI" w:cs="Times New Roman"/>
          <w:b/>
          <w:bCs/>
          <w:color w:val="000000" w:themeColor="text1"/>
          <w:sz w:val="22"/>
          <w:szCs w:val="22"/>
        </w:rPr>
        <w:t>Allowance:</w:t>
      </w:r>
    </w:p>
    <w:p w14:paraId="6E52DC41"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排放一定量温室气体的权利。</w:t>
      </w:r>
    </w:p>
    <w:p w14:paraId="7BD892F6"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The right to emit a certain quantity of GHG.</w:t>
      </w:r>
    </w:p>
    <w:p w14:paraId="3E8AD00B" w14:textId="44F75A3C" w:rsidR="00EE1C12" w:rsidRDefault="00EE1C12" w:rsidP="000E6056">
      <w:pPr>
        <w:rPr>
          <w:rFonts w:ascii="Microsoft YaHei UI" w:eastAsia="Microsoft YaHei UI" w:hAnsi="Microsoft YaHei UI"/>
          <w:color w:val="000000" w:themeColor="text1"/>
          <w:sz w:val="22"/>
          <w:szCs w:val="22"/>
        </w:rPr>
      </w:pPr>
    </w:p>
    <w:p w14:paraId="16EE6330" w14:textId="77777777" w:rsidR="00561E17" w:rsidRPr="007F5F9B" w:rsidRDefault="00561E17" w:rsidP="000E6056">
      <w:pPr>
        <w:rPr>
          <w:rFonts w:ascii="Microsoft YaHei UI" w:eastAsia="Microsoft YaHei UI" w:hAnsi="Microsoft YaHei UI"/>
          <w:color w:val="000000" w:themeColor="text1"/>
          <w:sz w:val="22"/>
          <w:szCs w:val="22"/>
        </w:rPr>
      </w:pPr>
    </w:p>
    <w:p w14:paraId="6E5C0664" w14:textId="77777777" w:rsidR="00EE1C12" w:rsidRPr="007F5F9B" w:rsidRDefault="00000000" w:rsidP="000E6056">
      <w:pPr>
        <w:pStyle w:val="ListParagraph"/>
        <w:widowControl/>
        <w:numPr>
          <w:ilvl w:val="0"/>
          <w:numId w:val="3"/>
        </w:numPr>
        <w:jc w:val="left"/>
        <w:rPr>
          <w:rFonts w:ascii="Microsoft YaHei UI" w:eastAsia="Microsoft YaHei UI" w:hAnsi="Microsoft YaHei UI" w:cs="Times New Roman"/>
          <w:b/>
          <w:bCs/>
          <w:color w:val="000000" w:themeColor="text1"/>
          <w:sz w:val="22"/>
          <w:szCs w:val="22"/>
          <w:lang w:eastAsia="zh-Hans"/>
        </w:rPr>
      </w:pPr>
      <w:r w:rsidRPr="007F5F9B">
        <w:rPr>
          <w:rFonts w:ascii="Microsoft YaHei UI" w:eastAsia="Microsoft YaHei UI" w:hAnsi="Microsoft YaHei UI" w:cs="Times New Roman"/>
          <w:b/>
          <w:bCs/>
          <w:color w:val="000000" w:themeColor="text1"/>
          <w:sz w:val="22"/>
          <w:szCs w:val="22"/>
          <w:lang w:eastAsia="zh-Hans"/>
        </w:rPr>
        <w:lastRenderedPageBreak/>
        <w:t>IPE的碳数据披露表 IPE’s C</w:t>
      </w:r>
      <w:r w:rsidRPr="007F5F9B">
        <w:rPr>
          <w:rFonts w:ascii="Microsoft YaHei UI" w:eastAsia="Microsoft YaHei UI" w:hAnsi="Microsoft YaHei UI" w:cs="Times New Roman"/>
          <w:b/>
          <w:bCs/>
          <w:color w:val="000000" w:themeColor="text1"/>
          <w:sz w:val="22"/>
          <w:szCs w:val="22"/>
        </w:rPr>
        <w:t xml:space="preserve">arbon </w:t>
      </w:r>
      <w:r w:rsidRPr="007F5F9B">
        <w:rPr>
          <w:rFonts w:ascii="Microsoft YaHei UI" w:eastAsia="Microsoft YaHei UI" w:hAnsi="Microsoft YaHei UI" w:cs="Times New Roman"/>
          <w:b/>
          <w:bCs/>
          <w:color w:val="000000" w:themeColor="text1"/>
          <w:sz w:val="22"/>
          <w:szCs w:val="22"/>
          <w:lang w:eastAsia="zh-Hans"/>
        </w:rPr>
        <w:t>D</w:t>
      </w:r>
      <w:r w:rsidRPr="007F5F9B">
        <w:rPr>
          <w:rFonts w:ascii="Microsoft YaHei UI" w:eastAsia="Microsoft YaHei UI" w:hAnsi="Microsoft YaHei UI" w:cs="Times New Roman"/>
          <w:b/>
          <w:bCs/>
          <w:color w:val="000000" w:themeColor="text1"/>
          <w:sz w:val="22"/>
          <w:szCs w:val="22"/>
        </w:rPr>
        <w:t xml:space="preserve">ata </w:t>
      </w:r>
      <w:r w:rsidRPr="007F5F9B">
        <w:rPr>
          <w:rFonts w:ascii="Microsoft YaHei UI" w:eastAsia="Microsoft YaHei UI" w:hAnsi="Microsoft YaHei UI" w:cs="Times New Roman"/>
          <w:b/>
          <w:bCs/>
          <w:color w:val="000000" w:themeColor="text1"/>
          <w:sz w:val="22"/>
          <w:szCs w:val="22"/>
          <w:lang w:eastAsia="zh-Hans"/>
        </w:rPr>
        <w:t xml:space="preserve">Disclosure </w:t>
      </w:r>
      <w:r w:rsidRPr="007F5F9B">
        <w:rPr>
          <w:rFonts w:ascii="Microsoft YaHei UI" w:eastAsia="Microsoft YaHei UI" w:hAnsi="Microsoft YaHei UI" w:cs="Times New Roman"/>
          <w:b/>
          <w:bCs/>
          <w:color w:val="000000" w:themeColor="text1"/>
          <w:sz w:val="22"/>
          <w:szCs w:val="22"/>
        </w:rPr>
        <w:t>Platform</w:t>
      </w:r>
      <w:r w:rsidRPr="007F5F9B">
        <w:rPr>
          <w:rFonts w:ascii="Microsoft YaHei UI" w:eastAsia="Microsoft YaHei UI" w:hAnsi="Microsoft YaHei UI" w:cs="Times New Roman"/>
          <w:b/>
          <w:bCs/>
          <w:color w:val="000000" w:themeColor="text1"/>
          <w:sz w:val="22"/>
          <w:szCs w:val="22"/>
          <w:lang w:eastAsia="zh-Hans"/>
        </w:rPr>
        <w:t>:</w:t>
      </w:r>
    </w:p>
    <w:p w14:paraId="5B6E26B5"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 xml:space="preserve">供应商可以通过 IPE </w:t>
      </w:r>
      <w:r w:rsidRPr="007F5F9B">
        <w:rPr>
          <w:rFonts w:ascii="Microsoft YaHei UI" w:eastAsia="Microsoft YaHei UI" w:hAnsi="Microsoft YaHei UI"/>
          <w:color w:val="000000" w:themeColor="text1"/>
          <w:sz w:val="22"/>
          <w:szCs w:val="22"/>
          <w:lang w:eastAsia="zh-Hans"/>
        </w:rPr>
        <w:t>碳数据披露表填报并</w:t>
      </w:r>
      <w:r w:rsidRPr="007F5F9B">
        <w:rPr>
          <w:rFonts w:ascii="Microsoft YaHei UI" w:eastAsia="Microsoft YaHei UI" w:hAnsi="Microsoft YaHei UI"/>
          <w:color w:val="000000" w:themeColor="text1"/>
          <w:sz w:val="22"/>
          <w:szCs w:val="22"/>
        </w:rPr>
        <w:t>公开披露</w:t>
      </w:r>
      <w:r w:rsidRPr="007F5F9B">
        <w:rPr>
          <w:rFonts w:ascii="Microsoft YaHei UI" w:eastAsia="Microsoft YaHei UI" w:hAnsi="Microsoft YaHei UI"/>
          <w:color w:val="000000" w:themeColor="text1"/>
          <w:sz w:val="22"/>
          <w:szCs w:val="22"/>
          <w:lang w:eastAsia="zh-Hans"/>
        </w:rPr>
        <w:t>企业年度温室气体排放</w:t>
      </w:r>
      <w:r w:rsidRPr="007F5F9B">
        <w:rPr>
          <w:rFonts w:ascii="Microsoft YaHei UI" w:eastAsia="Microsoft YaHei UI" w:hAnsi="Microsoft YaHei UI"/>
          <w:color w:val="000000" w:themeColor="text1"/>
          <w:sz w:val="22"/>
          <w:szCs w:val="22"/>
        </w:rPr>
        <w:t>数据、</w:t>
      </w:r>
      <w:r w:rsidRPr="007F5F9B">
        <w:rPr>
          <w:rFonts w:ascii="Microsoft YaHei UI" w:eastAsia="Microsoft YaHei UI" w:hAnsi="Microsoft YaHei UI"/>
          <w:color w:val="000000" w:themeColor="text1"/>
          <w:sz w:val="22"/>
          <w:szCs w:val="22"/>
          <w:lang w:eastAsia="zh-Hans"/>
        </w:rPr>
        <w:t>能源消耗、气候目标以及碳资产管理情况</w:t>
      </w:r>
      <w:r w:rsidRPr="007F5F9B">
        <w:rPr>
          <w:rFonts w:ascii="Microsoft YaHei UI" w:eastAsia="Microsoft YaHei UI" w:hAnsi="Microsoft YaHei UI"/>
          <w:color w:val="000000" w:themeColor="text1"/>
          <w:sz w:val="22"/>
          <w:szCs w:val="22"/>
        </w:rPr>
        <w:t xml:space="preserve">。 </w:t>
      </w:r>
    </w:p>
    <w:p w14:paraId="2BCFDBAD" w14:textId="77777777" w:rsidR="00EE1C12" w:rsidRPr="007F5F9B" w:rsidRDefault="00000000" w:rsidP="000E6056">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 xml:space="preserve">A platform developed by IPE where suppliers can disclose their annual </w:t>
      </w:r>
      <w:r w:rsidRPr="007F5F9B">
        <w:rPr>
          <w:rFonts w:ascii="Microsoft YaHei UI" w:eastAsia="Microsoft YaHei UI" w:hAnsi="Microsoft YaHei UI"/>
          <w:color w:val="000000" w:themeColor="text1"/>
          <w:sz w:val="22"/>
          <w:szCs w:val="22"/>
          <w:lang w:eastAsia="zh-Hans"/>
        </w:rPr>
        <w:t xml:space="preserve">GHG </w:t>
      </w:r>
      <w:r w:rsidRPr="007F5F9B">
        <w:rPr>
          <w:rFonts w:ascii="Microsoft YaHei UI" w:eastAsia="Microsoft YaHei UI" w:hAnsi="Microsoft YaHei UI"/>
          <w:color w:val="000000" w:themeColor="text1"/>
          <w:sz w:val="22"/>
          <w:szCs w:val="22"/>
        </w:rPr>
        <w:t xml:space="preserve">data, energy consumption, climate targets and carbon asset </w:t>
      </w:r>
      <w:r w:rsidRPr="007F5F9B">
        <w:rPr>
          <w:rFonts w:ascii="Microsoft YaHei UI" w:eastAsia="Microsoft YaHei UI" w:hAnsi="Microsoft YaHei UI"/>
          <w:color w:val="000000" w:themeColor="text1"/>
          <w:sz w:val="22"/>
          <w:szCs w:val="22"/>
          <w:lang w:eastAsia="zh-Hans"/>
        </w:rPr>
        <w:t>data.</w:t>
      </w:r>
    </w:p>
    <w:p w14:paraId="1B56D7EA" w14:textId="77777777" w:rsidR="00EE1C12" w:rsidRPr="007F5F9B" w:rsidRDefault="00000000">
      <w:pPr>
        <w:rPr>
          <w:rFonts w:ascii="Microsoft YaHei UI" w:eastAsia="Microsoft YaHei UI" w:hAnsi="Microsoft YaHei UI"/>
          <w:color w:val="000000" w:themeColor="text1"/>
          <w:sz w:val="22"/>
          <w:szCs w:val="22"/>
        </w:rPr>
      </w:pPr>
      <w:r w:rsidRPr="007F5F9B">
        <w:rPr>
          <w:rFonts w:ascii="Microsoft YaHei UI" w:eastAsia="Microsoft YaHei UI" w:hAnsi="Microsoft YaHei UI"/>
          <w:noProof/>
          <w:color w:val="000000" w:themeColor="text1"/>
          <w:sz w:val="22"/>
          <w:szCs w:val="22"/>
        </w:rPr>
        <mc:AlternateContent>
          <mc:Choice Requires="wps">
            <w:drawing>
              <wp:anchor distT="0" distB="0" distL="114300" distR="114300" simplePos="0" relativeHeight="251659264" behindDoc="0" locked="0" layoutInCell="1" allowOverlap="1" wp14:anchorId="12D1BD8F" wp14:editId="1361E554">
                <wp:simplePos x="0" y="0"/>
                <wp:positionH relativeFrom="column">
                  <wp:posOffset>27305</wp:posOffset>
                </wp:positionH>
                <wp:positionV relativeFrom="paragraph">
                  <wp:posOffset>118110</wp:posOffset>
                </wp:positionV>
                <wp:extent cx="3366770" cy="0"/>
                <wp:effectExtent l="0" t="0" r="11430" b="12700"/>
                <wp:wrapNone/>
                <wp:docPr id="1" name="直线连接符 1"/>
                <wp:cNvGraphicFramePr/>
                <a:graphic xmlns:a="http://schemas.openxmlformats.org/drawingml/2006/main">
                  <a:graphicData uri="http://schemas.microsoft.com/office/word/2010/wordprocessingShape">
                    <wps:wsp>
                      <wps:cNvCnPr/>
                      <wps:spPr>
                        <a:xfrm>
                          <a:off x="0" y="0"/>
                          <a:ext cx="33670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cei="http://schemas.microsoft.com/office/word/2026/wordml/cei">
            <w:pict>
              <v:line id="直线连接符 1" o:spid="_x0000_s1026" o:spt="20" style="position:absolute;left:0pt;margin-left:2.15pt;margin-top:9.3pt;height:0pt;width:265.1pt;z-index:251659264;mso-width-relative:page;mso-height-relative:page;" filled="f" stroked="t" coordsize="21600,21600" o:gfxdata="UEsFBgAAAAAAAAAAAAAAAAAAAAAAAFBLAwQKAAAAAACHTuJAAAAAAAAAAAAAAAAABAAAAGRycy9Q&#10;SwMEFAAAAAgAh07iQBKLSRLTAAAABwEAAA8AAABkcnMvZG93bnJldi54bWxNjrtOxDAQRXsk/sEa&#10;JDrWWfYVhThbIFEgIQGBgtIbz8YBexxibxL+nkEUUM69V2dOuZ+9EyMOsQukYLnIQCA1wXTUKnh9&#10;ubvKQcSkyWgXCBV8YYR9dX5W6sKEiZ5xrFMrGEKx0ApsSn0hZWwseh0XoUfi7hgGrxOfQyvNoCeG&#10;eyevs2wrve6IP1jd463F5qM+eabQ7vM4u+Ht6fHB5vX0jvfjDpW6vFhmNyASzulvDD/6rA4VOx3C&#10;iUwUTsF6xUOO8y0Irjer9QbE4TeQVSn/+1ffUEsDBBQAAAAIAIdO4kCJ3F0z5gEAALEDAAAOAAAA&#10;ZHJzL2Uyb0RvYy54bWytU81uEzEQviPxDpbvZDcNhGqVTQ+NygVBJOABJl7vriX/yeNmk5fgBZC4&#10;wYkjJy59m4bHYOxN01IuPbAH73h+vvH3eby42BnNtjKgcrbm00nJmbTCNcp2Nf/08erFOWcYwTag&#10;nZU130vkF8vnzxaDr+SZ651uZGAEYrEafM37GH1VFCh6aQAnzktLwdYFA5G2oSuaAAOhG12cleW8&#10;GFxofHBCIpJ3NQb5ETE8BdC1rRJy5cS1kTaOqEFqiEQJe+WRL/Np21aK+L5tUUama05MY16pCdmb&#10;tBbLBVRdAN8rcTwCPOUIjzgZUJaanqBWEIFdB/UPlFEiOHRtnAhnipFIVoRYTMtH2nzowcvMhaRG&#10;fxId/x+seLddB6YamgTOLBi68MOXn4dfN79vvt5+/nb48Z1Nk0iDx4pyL+06HHfo1yEx3rXBpD9x&#10;Ybss7P4krNxFJsg5m81fly9nnIm7WHFf6APGN9IZloyaa2UTZ6hg+xYjNaPUu5Tktu5KaZ3vTVs2&#10;1Hw+e0W3KYBmsaUZINN44oO24wx0R0MuYsiI6LRqUnXCwdBtLnVgW0ijkb9ElLr9lZZarwD7MS+H&#10;xqExKtI70MrU/PxhtbYEkuQaBUrWxjX7rFv2003mNsepS6PycJ+r71/a8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ASi0kS0wAAAAcBAAAPAAAAAAAAAAEAIAAAADgAAABkcnMvZG93bnJldi54bWxQ&#10;SwECFAAUAAAACACHTuJAidxdM+YBAACxAwAADgAAAAAAAAABACAAAAA4AQAAZHJzL2Uyb0RvYy54&#10;bWxQSwUGAAAAAAYABgBZAQAAkAUAAAAA&#10;">
                <v:fill on="f" focussize="0,0"/>
                <v:stroke weight="0.5pt" color="#000000 [3200]" miterlimit="8" joinstyle="miter"/>
                <v:imagedata o:title=""/>
                <o:lock v:ext="edit" aspectratio="f"/>
              </v:line>
            </w:pict>
          </mc:Fallback>
        </mc:AlternateContent>
      </w:r>
    </w:p>
    <w:p w14:paraId="6DA5E0AE" w14:textId="2D901CF3" w:rsidR="00EE1C12" w:rsidRPr="00522D84" w:rsidRDefault="00000000" w:rsidP="001D7DF4">
      <w:pPr>
        <w:rPr>
          <w:rFonts w:ascii="Microsoft YaHei UI" w:eastAsia="Microsoft YaHei UI" w:hAnsi="Microsoft YaHei UI"/>
          <w:sz w:val="20"/>
          <w:szCs w:val="20"/>
        </w:rPr>
      </w:pPr>
      <w:r w:rsidRPr="00522D84">
        <w:rPr>
          <w:rFonts w:ascii="Microsoft YaHei UI" w:eastAsia="Microsoft YaHei UI" w:hAnsi="Microsoft YaHei UI" w:hint="eastAsia"/>
          <w:sz w:val="20"/>
          <w:szCs w:val="20"/>
        </w:rPr>
        <w:t>引用文件</w:t>
      </w:r>
      <w:r w:rsidRPr="00522D84">
        <w:rPr>
          <w:rFonts w:ascii="Microsoft YaHei UI" w:eastAsia="Microsoft YaHei UI" w:hAnsi="Microsoft YaHei UI"/>
          <w:sz w:val="20"/>
          <w:szCs w:val="20"/>
        </w:rPr>
        <w:t xml:space="preserve"> Reference:</w:t>
      </w:r>
    </w:p>
    <w:p w14:paraId="0FA967A7" w14:textId="77777777" w:rsidR="00EE1C12" w:rsidRPr="001D7DF4" w:rsidRDefault="00000000" w:rsidP="001D7DF4">
      <w:pPr>
        <w:rPr>
          <w:rStyle w:val="15"/>
          <w:rFonts w:ascii="Microsoft YaHei UI" w:eastAsia="Microsoft YaHei UI" w:hAnsi="Microsoft YaHei UI"/>
          <w:color w:val="000000" w:themeColor="text1"/>
          <w:sz w:val="18"/>
          <w:szCs w:val="18"/>
        </w:rPr>
      </w:pPr>
      <w:r w:rsidRPr="001D7DF4">
        <w:rPr>
          <w:rFonts w:ascii="Microsoft YaHei UI" w:eastAsia="Microsoft YaHei UI" w:hAnsi="Microsoft YaHei UI"/>
          <w:sz w:val="18"/>
          <w:szCs w:val="18"/>
          <w:u w:val="single"/>
        </w:rPr>
        <w:t xml:space="preserve">IPCC, </w:t>
      </w:r>
      <w:hyperlink r:id="rId10" w:history="1">
        <w:r w:rsidR="00EE1C12" w:rsidRPr="001D7DF4">
          <w:rPr>
            <w:rStyle w:val="15"/>
            <w:rFonts w:ascii="Microsoft YaHei UI" w:eastAsia="Microsoft YaHei UI" w:hAnsi="Microsoft YaHei UI"/>
            <w:i/>
            <w:iCs/>
            <w:color w:val="000000" w:themeColor="text1"/>
            <w:sz w:val="18"/>
            <w:szCs w:val="18"/>
          </w:rPr>
          <w:t>Global Warming of 1.5°C, Annex I: Glossary</w:t>
        </w:r>
      </w:hyperlink>
    </w:p>
    <w:p w14:paraId="70FA2F7B" w14:textId="77777777" w:rsidR="00EE1C12" w:rsidRPr="001D7DF4" w:rsidRDefault="00000000" w:rsidP="001D7DF4">
      <w:pPr>
        <w:rPr>
          <w:rStyle w:val="15"/>
          <w:rFonts w:ascii="Microsoft YaHei UI" w:eastAsia="Microsoft YaHei UI" w:hAnsi="Microsoft YaHei UI"/>
          <w:color w:val="000000" w:themeColor="text1"/>
          <w:sz w:val="18"/>
          <w:szCs w:val="18"/>
          <w:lang w:eastAsia="zh-Hans"/>
        </w:rPr>
      </w:pPr>
      <w:r w:rsidRPr="001D7DF4">
        <w:rPr>
          <w:rStyle w:val="15"/>
          <w:rFonts w:ascii="Microsoft YaHei UI" w:eastAsia="Microsoft YaHei UI" w:hAnsi="Microsoft YaHei UI"/>
          <w:color w:val="000000" w:themeColor="text1"/>
          <w:sz w:val="18"/>
          <w:szCs w:val="18"/>
          <w:lang w:eastAsia="zh-Hans"/>
        </w:rPr>
        <w:t xml:space="preserve">IPCC WGIII, </w:t>
      </w:r>
      <w:r w:rsidRPr="001D7DF4">
        <w:rPr>
          <w:rStyle w:val="15"/>
          <w:rFonts w:ascii="Microsoft YaHei UI" w:eastAsia="Microsoft YaHei UI" w:hAnsi="Microsoft YaHei UI"/>
          <w:i/>
          <w:iCs/>
          <w:color w:val="000000" w:themeColor="text1"/>
          <w:sz w:val="18"/>
          <w:szCs w:val="18"/>
          <w:lang w:eastAsia="zh-Hans"/>
        </w:rPr>
        <w:t>Climate Change 2022 Mitigation of Climate Change</w:t>
      </w:r>
    </w:p>
    <w:p w14:paraId="48FC7C44" w14:textId="77777777" w:rsidR="00EE1C12" w:rsidRPr="001D7DF4" w:rsidRDefault="00000000" w:rsidP="001D7DF4">
      <w:pPr>
        <w:rPr>
          <w:rStyle w:val="15"/>
          <w:rFonts w:ascii="Microsoft YaHei UI" w:eastAsia="Microsoft YaHei UI" w:hAnsi="Microsoft YaHei UI"/>
          <w:color w:val="000000" w:themeColor="text1"/>
          <w:sz w:val="18"/>
          <w:szCs w:val="18"/>
          <w:lang w:eastAsia="zh-Hans"/>
        </w:rPr>
      </w:pPr>
      <w:r w:rsidRPr="001D7DF4">
        <w:rPr>
          <w:rStyle w:val="15"/>
          <w:rFonts w:ascii="Microsoft YaHei UI" w:eastAsia="Microsoft YaHei UI" w:hAnsi="Microsoft YaHei UI"/>
          <w:color w:val="000000" w:themeColor="text1"/>
          <w:sz w:val="18"/>
          <w:szCs w:val="18"/>
          <w:lang w:eastAsia="zh-Hans"/>
        </w:rPr>
        <w:t xml:space="preserve">ISO, </w:t>
      </w:r>
      <w:r w:rsidRPr="001D7DF4">
        <w:rPr>
          <w:rStyle w:val="15"/>
          <w:rFonts w:ascii="Microsoft YaHei UI" w:eastAsia="Microsoft YaHei UI" w:hAnsi="Microsoft YaHei UI"/>
          <w:i/>
          <w:iCs/>
          <w:color w:val="000000" w:themeColor="text1"/>
          <w:sz w:val="18"/>
          <w:szCs w:val="18"/>
          <w:lang w:eastAsia="zh-Hans"/>
        </w:rPr>
        <w:t>ISO 14067: 2018</w:t>
      </w:r>
    </w:p>
    <w:p w14:paraId="18B7194F" w14:textId="2D384FC7" w:rsidR="00EE1C12" w:rsidRPr="001D7DF4" w:rsidRDefault="00000000" w:rsidP="001D7DF4">
      <w:pPr>
        <w:rPr>
          <w:rFonts w:ascii="Microsoft YaHei UI" w:eastAsia="Microsoft YaHei UI" w:hAnsi="Microsoft YaHei UI"/>
          <w:sz w:val="18"/>
          <w:szCs w:val="18"/>
        </w:rPr>
      </w:pPr>
      <w:r w:rsidRPr="001D7DF4">
        <w:rPr>
          <w:rFonts w:ascii="Microsoft YaHei UI" w:eastAsia="Microsoft YaHei UI" w:hAnsi="Microsoft YaHei UI"/>
          <w:sz w:val="18"/>
          <w:szCs w:val="18"/>
        </w:rPr>
        <w:t>WBCSD &amp; WRI,</w:t>
      </w:r>
      <w:r w:rsidR="00BA7335" w:rsidRPr="001D7DF4">
        <w:rPr>
          <w:rFonts w:ascii="Microsoft YaHei UI" w:eastAsia="Microsoft YaHei UI" w:hAnsi="Microsoft YaHei UI"/>
          <w:sz w:val="18"/>
          <w:szCs w:val="18"/>
        </w:rPr>
        <w:t xml:space="preserve"> </w:t>
      </w:r>
      <w:r w:rsidR="00F36A2D" w:rsidRPr="001D7DF4">
        <w:rPr>
          <w:rFonts w:ascii="Microsoft YaHei UI" w:eastAsia="Microsoft YaHei UI" w:hAnsi="Microsoft YaHei UI" w:hint="eastAsia"/>
          <w:sz w:val="18"/>
          <w:szCs w:val="18"/>
        </w:rPr>
        <w:t>《</w:t>
      </w:r>
      <w:hyperlink r:id="rId11" w:history="1">
        <w:r w:rsidR="00EE1C12" w:rsidRPr="001D7DF4">
          <w:rPr>
            <w:rStyle w:val="15"/>
            <w:rFonts w:ascii="Microsoft YaHei UI" w:eastAsia="Microsoft YaHei UI" w:hAnsi="Microsoft YaHei UI" w:hint="eastAsia"/>
            <w:color w:val="000000" w:themeColor="text1"/>
            <w:sz w:val="18"/>
            <w:szCs w:val="18"/>
          </w:rPr>
          <w:t>温室气体核算体系：企业核算与报告标准</w:t>
        </w:r>
      </w:hyperlink>
      <w:r w:rsidR="00F36A2D" w:rsidRPr="001D7DF4">
        <w:rPr>
          <w:rFonts w:ascii="Microsoft YaHei UI" w:eastAsia="Microsoft YaHei UI" w:hAnsi="Microsoft YaHei UI" w:hint="eastAsia"/>
          <w:sz w:val="18"/>
          <w:szCs w:val="18"/>
        </w:rPr>
        <w:t>》</w:t>
      </w:r>
      <w:hyperlink r:id="rId12" w:history="1">
        <w:r w:rsidR="00EE1C12" w:rsidRPr="001D7DF4">
          <w:rPr>
            <w:rStyle w:val="15"/>
            <w:rFonts w:ascii="Microsoft YaHei UI" w:eastAsia="Microsoft YaHei UI" w:hAnsi="Microsoft YaHei UI"/>
            <w:i/>
            <w:iCs/>
            <w:color w:val="000000" w:themeColor="text1"/>
            <w:sz w:val="18"/>
            <w:szCs w:val="18"/>
          </w:rPr>
          <w:t>The GHG Protocol Corporate: A Corporate Accounting and Reporting Standard</w:t>
        </w:r>
      </w:hyperlink>
    </w:p>
    <w:p w14:paraId="43529DD4" w14:textId="77777777" w:rsidR="00EE1C12" w:rsidRPr="001D7DF4" w:rsidRDefault="00000000" w:rsidP="001D7DF4">
      <w:pPr>
        <w:rPr>
          <w:rStyle w:val="15"/>
          <w:rFonts w:ascii="Microsoft YaHei UI" w:eastAsia="Microsoft YaHei UI" w:hAnsi="Microsoft YaHei UI"/>
          <w:color w:val="000000" w:themeColor="text1"/>
          <w:sz w:val="18"/>
          <w:szCs w:val="18"/>
        </w:rPr>
      </w:pPr>
      <w:r w:rsidRPr="001D7DF4">
        <w:rPr>
          <w:rFonts w:ascii="Microsoft YaHei UI" w:eastAsia="Microsoft YaHei UI" w:hAnsi="Microsoft YaHei UI"/>
          <w:sz w:val="18"/>
          <w:szCs w:val="18"/>
          <w:u w:val="single"/>
        </w:rPr>
        <w:t xml:space="preserve">WBCSD &amp; WRI, </w:t>
      </w:r>
      <w:hyperlink r:id="rId13" w:history="1">
        <w:r w:rsidR="00EE1C12" w:rsidRPr="001D7DF4">
          <w:rPr>
            <w:rStyle w:val="15"/>
            <w:rFonts w:ascii="Microsoft YaHei UI" w:eastAsia="Microsoft YaHei UI" w:hAnsi="Microsoft YaHei UI"/>
            <w:i/>
            <w:iCs/>
            <w:color w:val="000000" w:themeColor="text1"/>
            <w:sz w:val="18"/>
            <w:szCs w:val="18"/>
          </w:rPr>
          <w:t xml:space="preserve">The GHG Protocol Corporate: Corporate Value Chain (Scope 3) Accounting and Reporting Standard </w:t>
        </w:r>
      </w:hyperlink>
    </w:p>
    <w:p w14:paraId="537D9559" w14:textId="77777777" w:rsidR="00EE1C12" w:rsidRPr="001D7DF4" w:rsidRDefault="00000000" w:rsidP="001D7DF4">
      <w:pPr>
        <w:rPr>
          <w:rStyle w:val="15"/>
          <w:rFonts w:ascii="Microsoft YaHei UI" w:eastAsia="Microsoft YaHei UI" w:hAnsi="Microsoft YaHei UI"/>
          <w:color w:val="000000" w:themeColor="text1"/>
          <w:sz w:val="18"/>
          <w:szCs w:val="18"/>
        </w:rPr>
      </w:pPr>
      <w:r w:rsidRPr="001D7DF4">
        <w:rPr>
          <w:rFonts w:ascii="Microsoft YaHei UI" w:eastAsia="Microsoft YaHei UI" w:hAnsi="Microsoft YaHei UI"/>
          <w:sz w:val="18"/>
          <w:szCs w:val="18"/>
          <w:u w:val="single"/>
        </w:rPr>
        <w:t xml:space="preserve">WBCSD &amp; WRI, </w:t>
      </w:r>
      <w:hyperlink r:id="rId14" w:history="1">
        <w:r w:rsidR="00EE1C12" w:rsidRPr="001D7DF4">
          <w:rPr>
            <w:rStyle w:val="15"/>
            <w:rFonts w:ascii="Microsoft YaHei UI" w:eastAsia="Microsoft YaHei UI" w:hAnsi="Microsoft YaHei UI"/>
            <w:i/>
            <w:iCs/>
            <w:color w:val="000000" w:themeColor="text1"/>
            <w:sz w:val="18"/>
            <w:szCs w:val="18"/>
          </w:rPr>
          <w:t xml:space="preserve">The GHG Protocol Corporate: Product Life Cycle Accounting and </w:t>
        </w:r>
      </w:hyperlink>
      <w:r w:rsidRPr="001D7DF4">
        <w:rPr>
          <w:rStyle w:val="15"/>
          <w:rFonts w:ascii="Microsoft YaHei UI" w:eastAsia="Microsoft YaHei UI" w:hAnsi="Microsoft YaHei UI"/>
          <w:i/>
          <w:iCs/>
          <w:color w:val="000000" w:themeColor="text1"/>
          <w:sz w:val="18"/>
          <w:szCs w:val="18"/>
        </w:rPr>
        <w:t>Reporting Standard</w:t>
      </w:r>
    </w:p>
    <w:p w14:paraId="13D74E2D" w14:textId="77777777" w:rsidR="00EE1C12" w:rsidRPr="001D7DF4" w:rsidRDefault="00000000" w:rsidP="001D7DF4">
      <w:pPr>
        <w:rPr>
          <w:rStyle w:val="15"/>
          <w:rFonts w:ascii="Microsoft YaHei UI" w:eastAsia="Microsoft YaHei UI" w:hAnsi="Microsoft YaHei UI"/>
          <w:i/>
          <w:iCs/>
          <w:color w:val="000000" w:themeColor="text1"/>
          <w:sz w:val="18"/>
          <w:szCs w:val="18"/>
        </w:rPr>
      </w:pPr>
      <w:r w:rsidRPr="001D7DF4">
        <w:rPr>
          <w:rFonts w:ascii="Microsoft YaHei UI" w:eastAsia="Microsoft YaHei UI" w:hAnsi="Microsoft YaHei UI"/>
          <w:sz w:val="18"/>
          <w:szCs w:val="18"/>
        </w:rPr>
        <w:t>中华人民共和国国家质量监督检验检疫总局、中国国家标准化管理委员会，《</w:t>
      </w:r>
      <w:hyperlink r:id="rId15" w:history="1">
        <w:r w:rsidR="00EE1C12" w:rsidRPr="001D7DF4">
          <w:rPr>
            <w:rStyle w:val="15"/>
            <w:rFonts w:ascii="Microsoft YaHei UI" w:eastAsia="Microsoft YaHei UI" w:hAnsi="Microsoft YaHei UI"/>
            <w:color w:val="000000" w:themeColor="text1"/>
            <w:sz w:val="18"/>
            <w:szCs w:val="18"/>
          </w:rPr>
          <w:t>供应链风险管理指南 GB/T 24420-2009</w:t>
        </w:r>
      </w:hyperlink>
      <w:r w:rsidRPr="001D7DF4">
        <w:rPr>
          <w:rFonts w:ascii="Microsoft YaHei UI" w:eastAsia="Microsoft YaHei UI" w:hAnsi="Microsoft YaHei UI"/>
          <w:sz w:val="18"/>
          <w:szCs w:val="18"/>
        </w:rPr>
        <w:t xml:space="preserve">》General Administration of Quality Supervision, Inspection and Quarantine of the People's Republic of China, Standardization Administration, </w:t>
      </w:r>
      <w:r w:rsidRPr="001D7DF4">
        <w:rPr>
          <w:rFonts w:ascii="Microsoft YaHei UI" w:eastAsia="Microsoft YaHei UI" w:hAnsi="Microsoft YaHei UI"/>
          <w:i/>
          <w:iCs/>
          <w:sz w:val="18"/>
          <w:szCs w:val="18"/>
        </w:rPr>
        <w:t>Supply chain risk management guideline</w:t>
      </w:r>
    </w:p>
    <w:p w14:paraId="45DEDBD4" w14:textId="77777777" w:rsidR="00EE1C12" w:rsidRPr="004A1EAF" w:rsidRDefault="00EE1C12">
      <w:pPr>
        <w:rPr>
          <w:rFonts w:ascii="Microsoft YaHei UI" w:eastAsia="Microsoft YaHei UI" w:hAnsi="Microsoft YaHei UI"/>
          <w:color w:val="000000" w:themeColor="text1"/>
          <w:sz w:val="20"/>
          <w:szCs w:val="20"/>
        </w:rPr>
      </w:pPr>
    </w:p>
    <w:p w14:paraId="11A438CC" w14:textId="77777777" w:rsidR="00EE1C12" w:rsidRPr="007F5F9B" w:rsidRDefault="00EE1C12">
      <w:pPr>
        <w:rPr>
          <w:rFonts w:ascii="Microsoft YaHei UI" w:eastAsia="Microsoft YaHei UI" w:hAnsi="Microsoft YaHei UI"/>
          <w:color w:val="000000" w:themeColor="text1"/>
          <w:sz w:val="22"/>
          <w:szCs w:val="22"/>
        </w:rPr>
      </w:pPr>
    </w:p>
    <w:p w14:paraId="5E84CF6E" w14:textId="77777777" w:rsidR="006A2A77" w:rsidRDefault="006A2A77" w:rsidP="00675E3D">
      <w:pPr>
        <w:spacing w:line="276" w:lineRule="auto"/>
        <w:jc w:val="both"/>
        <w:rPr>
          <w:rFonts w:ascii="Microsoft YaHei" w:eastAsia="Microsoft YaHei" w:hAnsi="Microsoft YaHei"/>
          <w:color w:val="000000" w:themeColor="text1"/>
          <w:sz w:val="22"/>
          <w:szCs w:val="22"/>
        </w:rPr>
        <w:sectPr w:rsidR="006A2A77">
          <w:pgSz w:w="11906" w:h="16838"/>
          <w:pgMar w:top="1440" w:right="1800" w:bottom="1440" w:left="1800" w:header="851" w:footer="992" w:gutter="0"/>
          <w:cols w:space="425"/>
          <w:docGrid w:type="lines" w:linePitch="312"/>
        </w:sectPr>
      </w:pPr>
    </w:p>
    <w:p w14:paraId="6DF0A9D3" w14:textId="77777777" w:rsidR="00675E3D" w:rsidRPr="00431293" w:rsidRDefault="00675E3D" w:rsidP="00675E3D">
      <w:pPr>
        <w:spacing w:line="276" w:lineRule="auto"/>
        <w:jc w:val="both"/>
        <w:rPr>
          <w:rFonts w:ascii="Microsoft YaHei" w:eastAsia="Microsoft YaHei" w:hAnsi="Microsoft YaHei"/>
          <w:color w:val="000000" w:themeColor="text1"/>
          <w:sz w:val="22"/>
          <w:szCs w:val="22"/>
        </w:rPr>
      </w:pPr>
      <w:r w:rsidRPr="00431293">
        <w:rPr>
          <w:rFonts w:ascii="Microsoft YaHei" w:eastAsia="Microsoft YaHei" w:hAnsi="Microsoft YaHei"/>
          <w:color w:val="000000" w:themeColor="text1"/>
          <w:sz w:val="22"/>
          <w:szCs w:val="22"/>
        </w:rPr>
        <w:lastRenderedPageBreak/>
        <w:t>&gt;&gt;&gt;&gt;&gt;&gt;&gt;&gt;&gt;&gt;</w:t>
      </w:r>
    </w:p>
    <w:p w14:paraId="44AFF9AA" w14:textId="77777777" w:rsidR="00675E3D" w:rsidRPr="00A426B5" w:rsidRDefault="00675E3D" w:rsidP="00E2424E">
      <w:pPr>
        <w:rPr>
          <w:rFonts w:ascii="Microsoft YaHei UI" w:eastAsia="Microsoft YaHei UI" w:hAnsi="Microsoft YaHei UI"/>
          <w:sz w:val="20"/>
          <w:szCs w:val="20"/>
        </w:rPr>
      </w:pPr>
      <w:r w:rsidRPr="00A426B5">
        <w:rPr>
          <w:rFonts w:ascii="Microsoft YaHei UI" w:eastAsia="Microsoft YaHei UI" w:hAnsi="Microsoft YaHei UI" w:hint="eastAsia"/>
          <w:sz w:val="20"/>
          <w:szCs w:val="20"/>
        </w:rPr>
        <w:t>公众环境研究中心（IPE）是一家在北京注册的公益环境研究机构。</w:t>
      </w:r>
    </w:p>
    <w:p w14:paraId="2E09CBE5" w14:textId="7C5F67D1" w:rsidR="00675E3D" w:rsidRPr="00A426B5" w:rsidRDefault="00675E3D" w:rsidP="00E2424E">
      <w:pPr>
        <w:rPr>
          <w:rFonts w:ascii="Microsoft YaHei UI" w:eastAsia="Microsoft YaHei UI" w:hAnsi="Microsoft YaHei UI"/>
          <w:sz w:val="20"/>
          <w:szCs w:val="20"/>
        </w:rPr>
      </w:pPr>
      <w:r w:rsidRPr="00A426B5">
        <w:rPr>
          <w:rFonts w:ascii="Microsoft YaHei UI" w:eastAsia="Microsoft YaHei UI" w:hAnsi="Microsoft YaHei UI" w:hint="eastAsia"/>
          <w:sz w:val="20"/>
          <w:szCs w:val="20"/>
        </w:rPr>
        <w:t>自2006年成立以来，IPE开发并运行蔚蓝地图数据库（</w:t>
      </w:r>
      <w:hyperlink r:id="rId16" w:history="1">
        <w:r w:rsidR="009077EF" w:rsidRPr="00A426B5">
          <w:rPr>
            <w:rStyle w:val="Hyperlink"/>
            <w:rFonts w:ascii="Microsoft YaHei UI" w:eastAsia="Microsoft YaHei UI" w:hAnsi="Microsoft YaHei UI" w:hint="eastAsia"/>
            <w:sz w:val="20"/>
            <w:szCs w:val="20"/>
          </w:rPr>
          <w:t>www.ipe.org.cn</w:t>
        </w:r>
      </w:hyperlink>
      <w:r w:rsidRPr="00A426B5">
        <w:rPr>
          <w:rFonts w:ascii="Microsoft YaHei UI" w:eastAsia="Microsoft YaHei UI" w:hAnsi="Microsoft YaHei UI" w:hint="eastAsia"/>
          <w:sz w:val="20"/>
          <w:szCs w:val="20"/>
        </w:rPr>
        <w:t>），2014年上线“蔚蓝地图”APP，推动环境信息公开，赋能绿色供应链和绿色金融，助力企业绿色转型和低碳发展，促进多方参与环境治理，共同守护地球家园。</w:t>
      </w:r>
    </w:p>
    <w:p w14:paraId="61578A25" w14:textId="2EDD7827" w:rsidR="00675E3D" w:rsidRPr="00A426B5" w:rsidRDefault="00E2424E">
      <w:pPr>
        <w:rPr>
          <w:rFonts w:ascii="Microsoft YaHei UI" w:eastAsia="Microsoft YaHei UI" w:hAnsi="Microsoft YaHei UI" w:cs="Calibri"/>
          <w:color w:val="000000" w:themeColor="text1"/>
          <w:sz w:val="20"/>
          <w:szCs w:val="20"/>
        </w:rPr>
      </w:pPr>
      <w:r w:rsidRPr="00A426B5">
        <w:rPr>
          <w:rFonts w:ascii="Microsoft YaHei UI" w:eastAsia="Microsoft YaHei UI" w:hAnsi="Microsoft YaHei UI" w:cs="Calibri"/>
          <w:color w:val="000000" w:themeColor="text1"/>
          <w:sz w:val="20"/>
          <w:szCs w:val="20"/>
        </w:rPr>
        <w:t>The Institute of Public &amp; Environmental Affairs (IPE) is a non-profit environmental organization based in Beijing, China. Since its establishment in 2006, IPE has developed and operated the Blue Map Database (</w:t>
      </w:r>
      <w:hyperlink r:id="rId17" w:history="1">
        <w:r w:rsidRPr="00A426B5">
          <w:rPr>
            <w:rStyle w:val="Hyperlink"/>
            <w:rFonts w:ascii="Microsoft YaHei UI" w:eastAsia="Microsoft YaHei UI" w:hAnsi="Microsoft YaHei UI" w:cs="Calibri"/>
            <w:sz w:val="20"/>
            <w:szCs w:val="20"/>
          </w:rPr>
          <w:t>wwwen.ipe.org.cn</w:t>
        </w:r>
      </w:hyperlink>
      <w:r w:rsidRPr="00A426B5">
        <w:rPr>
          <w:rFonts w:ascii="Microsoft YaHei UI" w:eastAsia="Microsoft YaHei UI" w:hAnsi="Microsoft YaHei UI" w:cs="Calibri"/>
          <w:color w:val="000000" w:themeColor="text1"/>
          <w:sz w:val="20"/>
          <w:szCs w:val="20"/>
        </w:rPr>
        <w:t>), and launched the Blue Map app in 2014, promoting environmental information disclosure and public participation, empowering enterprise green transition and development as well as improving environmental governance mechanisms.</w:t>
      </w:r>
    </w:p>
    <w:p w14:paraId="3286AE21" w14:textId="77777777" w:rsidR="00675E3D" w:rsidRPr="00831807" w:rsidRDefault="00675E3D">
      <w:pPr>
        <w:rPr>
          <w:rFonts w:ascii="Microsoft YaHei UI" w:eastAsia="Microsoft YaHei UI" w:hAnsi="Microsoft YaHei UI"/>
          <w:color w:val="000000" w:themeColor="text1"/>
          <w:sz w:val="22"/>
          <w:szCs w:val="22"/>
        </w:rPr>
      </w:pPr>
    </w:p>
    <w:p w14:paraId="0E6BAF5E" w14:textId="765B9597" w:rsidR="00EE1C12" w:rsidRPr="007F5F9B" w:rsidRDefault="00000000" w:rsidP="00E2424E">
      <w:pPr>
        <w:rPr>
          <w:rFonts w:ascii="Microsoft YaHei UI" w:eastAsia="Microsoft YaHei UI" w:hAnsi="Microsoft YaHei UI"/>
          <w:color w:val="000000" w:themeColor="text1"/>
          <w:sz w:val="22"/>
          <w:szCs w:val="22"/>
        </w:rPr>
      </w:pPr>
      <w:r w:rsidRPr="007F5F9B">
        <w:rPr>
          <w:rFonts w:ascii="Microsoft YaHei UI" w:eastAsia="Microsoft YaHei UI" w:hAnsi="Microsoft YaHei UI"/>
          <w:color w:val="000000" w:themeColor="text1"/>
          <w:sz w:val="22"/>
          <w:szCs w:val="22"/>
        </w:rPr>
        <w:t>***</w:t>
      </w:r>
    </w:p>
    <w:p w14:paraId="54336517" w14:textId="48965D33" w:rsidR="00EE1C12" w:rsidRPr="00E2424E" w:rsidRDefault="00000000" w:rsidP="00E2424E">
      <w:pPr>
        <w:rPr>
          <w:rFonts w:ascii="Calibri" w:eastAsia="Microsoft YaHei UI" w:hAnsi="Calibri" w:cs="Calibri"/>
          <w:color w:val="000000" w:themeColor="text1"/>
          <w:sz w:val="22"/>
          <w:szCs w:val="22"/>
        </w:rPr>
      </w:pPr>
      <w:r w:rsidRPr="00E2424E">
        <w:rPr>
          <w:rFonts w:ascii="Calibri" w:eastAsia="Microsoft YaHei UI" w:hAnsi="Calibri" w:cs="Calibri"/>
          <w:color w:val="000000" w:themeColor="text1"/>
          <w:sz w:val="22"/>
          <w:szCs w:val="22"/>
        </w:rPr>
        <w:t xml:space="preserve">Translation Accuracy Disclaimer: </w:t>
      </w:r>
    </w:p>
    <w:p w14:paraId="52BA092F" w14:textId="6B281D77" w:rsidR="00EE1C12" w:rsidRPr="00E2424E" w:rsidRDefault="00000000" w:rsidP="00E2424E">
      <w:pPr>
        <w:rPr>
          <w:rFonts w:ascii="Calibri" w:eastAsia="Microsoft YaHei UI" w:hAnsi="Calibri" w:cs="Calibri"/>
          <w:color w:val="000000" w:themeColor="text1"/>
          <w:sz w:val="22"/>
          <w:szCs w:val="22"/>
        </w:rPr>
      </w:pPr>
      <w:r w:rsidRPr="00E2424E">
        <w:rPr>
          <w:rFonts w:ascii="Calibri" w:eastAsia="Microsoft YaHei UI" w:hAnsi="Calibri" w:cs="Calibri"/>
          <w:color w:val="000000" w:themeColor="text1"/>
          <w:sz w:val="22"/>
          <w:szCs w:val="22"/>
        </w:rPr>
        <w:t>This document has been translated by IPE for reference</w:t>
      </w:r>
      <w:r w:rsidR="008B74AD" w:rsidRPr="00E2424E">
        <w:rPr>
          <w:rFonts w:ascii="Calibri" w:eastAsia="Microsoft YaHei UI" w:hAnsi="Calibri" w:cs="Calibri"/>
          <w:color w:val="000000" w:themeColor="text1"/>
          <w:sz w:val="22"/>
          <w:szCs w:val="22"/>
        </w:rPr>
        <w:t xml:space="preserve"> purposes</w:t>
      </w:r>
      <w:r w:rsidRPr="00E2424E">
        <w:rPr>
          <w:rFonts w:ascii="Calibri" w:eastAsia="Microsoft YaHei UI" w:hAnsi="Calibri" w:cs="Calibri"/>
          <w:color w:val="000000" w:themeColor="text1"/>
          <w:sz w:val="22"/>
          <w:szCs w:val="22"/>
        </w:rPr>
        <w:t xml:space="preserve"> only. If any questions arise </w:t>
      </w:r>
      <w:r w:rsidR="008B74AD" w:rsidRPr="00E2424E">
        <w:rPr>
          <w:rFonts w:ascii="Calibri" w:eastAsia="Microsoft YaHei UI" w:hAnsi="Calibri" w:cs="Calibri"/>
          <w:color w:val="000000" w:themeColor="text1"/>
          <w:sz w:val="22"/>
          <w:szCs w:val="22"/>
        </w:rPr>
        <w:t>regarding</w:t>
      </w:r>
      <w:r w:rsidRPr="00E2424E">
        <w:rPr>
          <w:rFonts w:ascii="Calibri" w:eastAsia="Microsoft YaHei UI" w:hAnsi="Calibri" w:cs="Calibri"/>
          <w:color w:val="000000" w:themeColor="text1"/>
          <w:sz w:val="22"/>
          <w:szCs w:val="22"/>
        </w:rPr>
        <w:t xml:space="preserve"> the accuracy of the information contained in this translation, please refer to the Chinese version, which is the official version. Any discrepancies or differences </w:t>
      </w:r>
      <w:r w:rsidR="00676695" w:rsidRPr="00676695">
        <w:rPr>
          <w:rFonts w:ascii="Calibri" w:eastAsia="Microsoft YaHei UI" w:hAnsi="Calibri" w:cs="Calibri"/>
          <w:color w:val="000000" w:themeColor="text1"/>
          <w:sz w:val="22"/>
          <w:szCs w:val="22"/>
        </w:rPr>
        <w:t>arising from</w:t>
      </w:r>
      <w:r w:rsidRPr="00E2424E">
        <w:rPr>
          <w:rFonts w:ascii="Calibri" w:eastAsia="Microsoft YaHei UI" w:hAnsi="Calibri" w:cs="Calibri"/>
          <w:color w:val="000000" w:themeColor="text1"/>
          <w:sz w:val="22"/>
          <w:szCs w:val="22"/>
        </w:rPr>
        <w:t xml:space="preserve"> the translation are not binding and have no legal effect for compliance or enforcement purposes.</w:t>
      </w:r>
    </w:p>
    <w:p w14:paraId="45FF2425" w14:textId="77777777" w:rsidR="00EE1C12" w:rsidRPr="00E2424E" w:rsidRDefault="00EE1C12" w:rsidP="00E2424E">
      <w:pPr>
        <w:rPr>
          <w:rFonts w:ascii="Calibri" w:eastAsia="Microsoft YaHei UI" w:hAnsi="Calibri" w:cs="Calibri"/>
          <w:color w:val="000000" w:themeColor="text1"/>
          <w:sz w:val="22"/>
          <w:szCs w:val="22"/>
        </w:rPr>
      </w:pPr>
    </w:p>
    <w:sectPr w:rsidR="00EE1C12" w:rsidRPr="00E242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D564FE" w14:textId="77777777" w:rsidR="005D30AA" w:rsidRDefault="005D30AA">
      <w:r>
        <w:separator/>
      </w:r>
    </w:p>
  </w:endnote>
  <w:endnote w:type="continuationSeparator" w:id="0">
    <w:p w14:paraId="5DB9B88A" w14:textId="77777777" w:rsidR="005D30AA" w:rsidRDefault="005D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5E61B6" w14:textId="77777777" w:rsidR="005D30AA" w:rsidRDefault="005D30AA">
      <w:r>
        <w:separator/>
      </w:r>
    </w:p>
  </w:footnote>
  <w:footnote w:type="continuationSeparator" w:id="0">
    <w:p w14:paraId="751E9449" w14:textId="77777777" w:rsidR="005D30AA" w:rsidRDefault="005D30AA">
      <w:r>
        <w:continuationSeparator/>
      </w:r>
    </w:p>
  </w:footnote>
  <w:footnote w:id="1">
    <w:p w14:paraId="63D46654" w14:textId="2638E557" w:rsidR="004C42EA" w:rsidRPr="00B714B3" w:rsidRDefault="004C42EA" w:rsidP="00B714B3">
      <w:pPr>
        <w:rPr>
          <w:rFonts w:ascii="Microsoft YaHei UI" w:eastAsia="Microsoft YaHei UI" w:hAnsi="Microsoft YaHei UI"/>
          <w:sz w:val="16"/>
          <w:szCs w:val="16"/>
        </w:rPr>
      </w:pPr>
      <w:r w:rsidRPr="00B714B3">
        <w:rPr>
          <w:rStyle w:val="FootnoteReference"/>
          <w:rFonts w:ascii="Microsoft YaHei UI" w:eastAsia="Microsoft YaHei UI" w:hAnsi="Microsoft YaHei UI"/>
        </w:rPr>
        <w:footnoteRef/>
      </w:r>
      <w:r w:rsidRPr="00B714B3">
        <w:rPr>
          <w:rFonts w:ascii="Microsoft YaHei UI" w:eastAsia="Microsoft YaHei UI" w:hAnsi="Microsoft YaHei UI"/>
        </w:rPr>
        <w:t xml:space="preserve"> </w:t>
      </w:r>
      <w:r w:rsidRPr="00B714B3">
        <w:rPr>
          <w:rFonts w:ascii="Microsoft YaHei UI" w:eastAsia="Microsoft YaHei UI" w:hAnsi="Microsoft YaHei UI"/>
          <w:sz w:val="16"/>
          <w:szCs w:val="16"/>
        </w:rPr>
        <w:t xml:space="preserve">此定义参考《供应链风险管理指南 GB/T 24420-2009》This definition references the </w:t>
      </w:r>
      <w:r w:rsidRPr="00B714B3">
        <w:rPr>
          <w:rFonts w:ascii="Microsoft YaHei UI" w:eastAsia="Microsoft YaHei UI" w:hAnsi="Microsoft YaHei UI"/>
          <w:i/>
          <w:iCs/>
          <w:sz w:val="16"/>
          <w:szCs w:val="16"/>
        </w:rPr>
        <w:t>Supply Chain Risk Management Guidelines (GB/T 24420-2009)</w:t>
      </w:r>
    </w:p>
  </w:footnote>
  <w:footnote w:id="2">
    <w:p w14:paraId="5A7D2501" w14:textId="1E89A0FC" w:rsidR="00EE1C12" w:rsidRPr="00B714B3" w:rsidRDefault="00000000">
      <w:pPr>
        <w:pStyle w:val="FootnoteText"/>
        <w:rPr>
          <w:rFonts w:ascii="Microsoft YaHei UI" w:eastAsia="Microsoft YaHei UI" w:hAnsi="Microsoft YaHei UI"/>
        </w:rPr>
      </w:pPr>
      <w:r w:rsidRPr="00B714B3">
        <w:rPr>
          <w:rStyle w:val="FootnoteReference"/>
          <w:rFonts w:ascii="Microsoft YaHei UI" w:eastAsia="Microsoft YaHei UI" w:hAnsi="Microsoft YaHei UI"/>
        </w:rPr>
        <w:footnoteRef/>
      </w:r>
      <w:r w:rsidRPr="00B714B3">
        <w:rPr>
          <w:rFonts w:ascii="Microsoft YaHei UI" w:eastAsia="Microsoft YaHei UI" w:hAnsi="Microsoft YaHei UI"/>
        </w:rPr>
        <w:t xml:space="preserve"> </w:t>
      </w:r>
      <w:hyperlink r:id="rId1" w:history="1">
        <w:r w:rsidR="00EE1C12" w:rsidRPr="00B714B3">
          <w:rPr>
            <w:rStyle w:val="Hyperlink"/>
            <w:rFonts w:ascii="Microsoft YaHei UI" w:eastAsia="Microsoft YaHei UI" w:hAnsi="Microsoft YaHei UI"/>
          </w:rPr>
          <w:t>http://www.ipe.org.cn/GreenSupplyChain/GreenEcologyChain.html</w:t>
        </w:r>
      </w:hyperlink>
    </w:p>
  </w:footnote>
  <w:footnote w:id="3">
    <w:p w14:paraId="0E01716E" w14:textId="77777777" w:rsidR="00EE1C12" w:rsidRPr="00B714B3" w:rsidRDefault="00000000">
      <w:pPr>
        <w:pStyle w:val="FootnoteText"/>
        <w:rPr>
          <w:rFonts w:ascii="Microsoft YaHei UI" w:eastAsia="Microsoft YaHei UI" w:hAnsi="Microsoft YaHei UI"/>
        </w:rPr>
      </w:pPr>
      <w:r w:rsidRPr="00B714B3">
        <w:rPr>
          <w:rStyle w:val="FootnoteReference"/>
          <w:rFonts w:ascii="Microsoft YaHei UI" w:eastAsia="Microsoft YaHei UI" w:hAnsi="Microsoft YaHei UI"/>
        </w:rPr>
        <w:footnoteRef/>
      </w:r>
      <w:r w:rsidRPr="00B714B3">
        <w:rPr>
          <w:rFonts w:ascii="Microsoft YaHei UI" w:eastAsia="Microsoft YaHei UI" w:hAnsi="Microsoft YaHei UI"/>
        </w:rPr>
        <w:t xml:space="preserve"> </w:t>
      </w:r>
      <w:hyperlink r:id="rId2" w:history="1">
        <w:r w:rsidR="00EE1C12" w:rsidRPr="00B714B3">
          <w:rPr>
            <w:rStyle w:val="Hyperlink"/>
            <w:rFonts w:ascii="Microsoft YaHei UI" w:eastAsia="Microsoft YaHei UI" w:hAnsi="Microsoft YaHei UI"/>
          </w:rPr>
          <w:t>http://wwwen.ipe.org.cn/GreenSupplyChain/GreenEcologyChain.html</w:t>
        </w:r>
      </w:hyperlink>
      <w:r w:rsidRPr="00B714B3">
        <w:rPr>
          <w:rFonts w:ascii="Microsoft YaHei UI" w:eastAsia="Microsoft YaHei UI" w:hAnsi="Microsoft YaHei U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A2DE5"/>
    <w:multiLevelType w:val="singleLevel"/>
    <w:tmpl w:val="FFFA2DE5"/>
    <w:lvl w:ilvl="0">
      <w:start w:val="1"/>
      <w:numFmt w:val="bullet"/>
      <w:lvlText w:val=""/>
      <w:lvlJc w:val="left"/>
      <w:pPr>
        <w:ind w:left="720" w:hanging="360"/>
      </w:pPr>
      <w:rPr>
        <w:rFonts w:ascii="Wingdings" w:hAnsi="Wingdings" w:hint="default"/>
      </w:rPr>
    </w:lvl>
  </w:abstractNum>
  <w:abstractNum w:abstractNumId="1" w15:restartNumberingAfterBreak="0">
    <w:nsid w:val="0A644D15"/>
    <w:multiLevelType w:val="multilevel"/>
    <w:tmpl w:val="0A644D15"/>
    <w:lvl w:ilvl="0">
      <w:start w:val="1"/>
      <w:numFmt w:val="japaneseCounting"/>
      <w:lvlText w:val="%1、"/>
      <w:lvlJc w:val="left"/>
      <w:pPr>
        <w:ind w:left="420" w:hanging="4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33046075"/>
    <w:multiLevelType w:val="hybridMultilevel"/>
    <w:tmpl w:val="6FCA0DD4"/>
    <w:lvl w:ilvl="0" w:tplc="FFFA2DE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CD2D09"/>
    <w:multiLevelType w:val="multilevel"/>
    <w:tmpl w:val="4BCD2D0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B5214F9"/>
    <w:multiLevelType w:val="hybridMultilevel"/>
    <w:tmpl w:val="977AA254"/>
    <w:lvl w:ilvl="0" w:tplc="FFFA2DE5">
      <w:start w:val="1"/>
      <w:numFmt w:val="bullet"/>
      <w:lvlText w:val=""/>
      <w:lvlJc w:val="left"/>
      <w:pPr>
        <w:ind w:left="1326" w:hanging="360"/>
      </w:pPr>
      <w:rPr>
        <w:rFonts w:ascii="Wingdings" w:hAnsi="Wingdings" w:hint="default"/>
      </w:rPr>
    </w:lvl>
    <w:lvl w:ilvl="1" w:tplc="04090003" w:tentative="1">
      <w:start w:val="1"/>
      <w:numFmt w:val="bullet"/>
      <w:lvlText w:val="o"/>
      <w:lvlJc w:val="left"/>
      <w:pPr>
        <w:ind w:left="2046" w:hanging="360"/>
      </w:pPr>
      <w:rPr>
        <w:rFonts w:ascii="Courier New" w:hAnsi="Courier New" w:cs="Courier New" w:hint="default"/>
      </w:rPr>
    </w:lvl>
    <w:lvl w:ilvl="2" w:tplc="04090005" w:tentative="1">
      <w:start w:val="1"/>
      <w:numFmt w:val="bullet"/>
      <w:lvlText w:val=""/>
      <w:lvlJc w:val="left"/>
      <w:pPr>
        <w:ind w:left="2766" w:hanging="360"/>
      </w:pPr>
      <w:rPr>
        <w:rFonts w:ascii="Wingdings" w:hAnsi="Wingdings" w:hint="default"/>
      </w:rPr>
    </w:lvl>
    <w:lvl w:ilvl="3" w:tplc="04090001" w:tentative="1">
      <w:start w:val="1"/>
      <w:numFmt w:val="bullet"/>
      <w:lvlText w:val=""/>
      <w:lvlJc w:val="left"/>
      <w:pPr>
        <w:ind w:left="3486" w:hanging="360"/>
      </w:pPr>
      <w:rPr>
        <w:rFonts w:ascii="Symbol" w:hAnsi="Symbol" w:hint="default"/>
      </w:rPr>
    </w:lvl>
    <w:lvl w:ilvl="4" w:tplc="04090003" w:tentative="1">
      <w:start w:val="1"/>
      <w:numFmt w:val="bullet"/>
      <w:lvlText w:val="o"/>
      <w:lvlJc w:val="left"/>
      <w:pPr>
        <w:ind w:left="4206" w:hanging="360"/>
      </w:pPr>
      <w:rPr>
        <w:rFonts w:ascii="Courier New" w:hAnsi="Courier New" w:cs="Courier New" w:hint="default"/>
      </w:rPr>
    </w:lvl>
    <w:lvl w:ilvl="5" w:tplc="04090005" w:tentative="1">
      <w:start w:val="1"/>
      <w:numFmt w:val="bullet"/>
      <w:lvlText w:val=""/>
      <w:lvlJc w:val="left"/>
      <w:pPr>
        <w:ind w:left="4926" w:hanging="360"/>
      </w:pPr>
      <w:rPr>
        <w:rFonts w:ascii="Wingdings" w:hAnsi="Wingdings" w:hint="default"/>
      </w:rPr>
    </w:lvl>
    <w:lvl w:ilvl="6" w:tplc="04090001" w:tentative="1">
      <w:start w:val="1"/>
      <w:numFmt w:val="bullet"/>
      <w:lvlText w:val=""/>
      <w:lvlJc w:val="left"/>
      <w:pPr>
        <w:ind w:left="5646" w:hanging="360"/>
      </w:pPr>
      <w:rPr>
        <w:rFonts w:ascii="Symbol" w:hAnsi="Symbol" w:hint="default"/>
      </w:rPr>
    </w:lvl>
    <w:lvl w:ilvl="7" w:tplc="04090003" w:tentative="1">
      <w:start w:val="1"/>
      <w:numFmt w:val="bullet"/>
      <w:lvlText w:val="o"/>
      <w:lvlJc w:val="left"/>
      <w:pPr>
        <w:ind w:left="6366" w:hanging="360"/>
      </w:pPr>
      <w:rPr>
        <w:rFonts w:ascii="Courier New" w:hAnsi="Courier New" w:cs="Courier New" w:hint="default"/>
      </w:rPr>
    </w:lvl>
    <w:lvl w:ilvl="8" w:tplc="04090005" w:tentative="1">
      <w:start w:val="1"/>
      <w:numFmt w:val="bullet"/>
      <w:lvlText w:val=""/>
      <w:lvlJc w:val="left"/>
      <w:pPr>
        <w:ind w:left="7086" w:hanging="360"/>
      </w:pPr>
      <w:rPr>
        <w:rFonts w:ascii="Wingdings" w:hAnsi="Wingdings" w:hint="default"/>
      </w:rPr>
    </w:lvl>
  </w:abstractNum>
  <w:abstractNum w:abstractNumId="5" w15:restartNumberingAfterBreak="0">
    <w:nsid w:val="6A480A80"/>
    <w:multiLevelType w:val="hybridMultilevel"/>
    <w:tmpl w:val="26EC8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4C7AAE"/>
    <w:multiLevelType w:val="hybridMultilevel"/>
    <w:tmpl w:val="8F345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4902819">
    <w:abstractNumId w:val="1"/>
  </w:num>
  <w:num w:numId="2" w16cid:durableId="370811740">
    <w:abstractNumId w:val="0"/>
  </w:num>
  <w:num w:numId="3" w16cid:durableId="1902711417">
    <w:abstractNumId w:val="3"/>
  </w:num>
  <w:num w:numId="4" w16cid:durableId="1492677148">
    <w:abstractNumId w:val="5"/>
  </w:num>
  <w:num w:numId="5" w16cid:durableId="296761706">
    <w:abstractNumId w:val="4"/>
  </w:num>
  <w:num w:numId="6" w16cid:durableId="1546528477">
    <w:abstractNumId w:val="2"/>
  </w:num>
  <w:num w:numId="7" w16cid:durableId="162230395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embedSystemFonts/>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E7EF1E3B"/>
    <w:rsid w:val="00001F57"/>
    <w:rsid w:val="00002BFD"/>
    <w:rsid w:val="00007066"/>
    <w:rsid w:val="0000793C"/>
    <w:rsid w:val="000129C6"/>
    <w:rsid w:val="0001654F"/>
    <w:rsid w:val="00021A5F"/>
    <w:rsid w:val="00023AB2"/>
    <w:rsid w:val="00027DD3"/>
    <w:rsid w:val="00031308"/>
    <w:rsid w:val="00034C1F"/>
    <w:rsid w:val="00044665"/>
    <w:rsid w:val="00054B29"/>
    <w:rsid w:val="00055193"/>
    <w:rsid w:val="00070F67"/>
    <w:rsid w:val="0007106B"/>
    <w:rsid w:val="00074B52"/>
    <w:rsid w:val="00076CE4"/>
    <w:rsid w:val="000818DD"/>
    <w:rsid w:val="00082343"/>
    <w:rsid w:val="00086216"/>
    <w:rsid w:val="000A3A72"/>
    <w:rsid w:val="000B04AE"/>
    <w:rsid w:val="000B44BC"/>
    <w:rsid w:val="000C3C24"/>
    <w:rsid w:val="000D74C1"/>
    <w:rsid w:val="000E441A"/>
    <w:rsid w:val="000E6009"/>
    <w:rsid w:val="000E6056"/>
    <w:rsid w:val="000E76A7"/>
    <w:rsid w:val="000F0749"/>
    <w:rsid w:val="000F7418"/>
    <w:rsid w:val="00107345"/>
    <w:rsid w:val="00111037"/>
    <w:rsid w:val="001117C7"/>
    <w:rsid w:val="00115115"/>
    <w:rsid w:val="00116654"/>
    <w:rsid w:val="001215E4"/>
    <w:rsid w:val="001346C1"/>
    <w:rsid w:val="001401CF"/>
    <w:rsid w:val="00140417"/>
    <w:rsid w:val="00157445"/>
    <w:rsid w:val="00161BF7"/>
    <w:rsid w:val="00170915"/>
    <w:rsid w:val="00174B29"/>
    <w:rsid w:val="00175ADF"/>
    <w:rsid w:val="001809EB"/>
    <w:rsid w:val="00184FE6"/>
    <w:rsid w:val="0019778E"/>
    <w:rsid w:val="001A3EBB"/>
    <w:rsid w:val="001D06BB"/>
    <w:rsid w:val="001D5A01"/>
    <w:rsid w:val="001D7DF4"/>
    <w:rsid w:val="001E4C40"/>
    <w:rsid w:val="001F0A84"/>
    <w:rsid w:val="001F51B9"/>
    <w:rsid w:val="00203474"/>
    <w:rsid w:val="00204C14"/>
    <w:rsid w:val="002076FC"/>
    <w:rsid w:val="002114F6"/>
    <w:rsid w:val="00222426"/>
    <w:rsid w:val="00231CEF"/>
    <w:rsid w:val="00241D3F"/>
    <w:rsid w:val="00250AB6"/>
    <w:rsid w:val="00251F7D"/>
    <w:rsid w:val="00252DFA"/>
    <w:rsid w:val="00255CDE"/>
    <w:rsid w:val="00273870"/>
    <w:rsid w:val="00274ADB"/>
    <w:rsid w:val="00276C2D"/>
    <w:rsid w:val="00284E18"/>
    <w:rsid w:val="002909C9"/>
    <w:rsid w:val="00295DC6"/>
    <w:rsid w:val="00297A2A"/>
    <w:rsid w:val="002A7558"/>
    <w:rsid w:val="002B184A"/>
    <w:rsid w:val="002B5FE3"/>
    <w:rsid w:val="002C3306"/>
    <w:rsid w:val="002C7D42"/>
    <w:rsid w:val="002D14DB"/>
    <w:rsid w:val="003046C0"/>
    <w:rsid w:val="00310495"/>
    <w:rsid w:val="0031254D"/>
    <w:rsid w:val="003139B1"/>
    <w:rsid w:val="00313EC6"/>
    <w:rsid w:val="00336E20"/>
    <w:rsid w:val="00342511"/>
    <w:rsid w:val="00383779"/>
    <w:rsid w:val="00394694"/>
    <w:rsid w:val="003B5FA0"/>
    <w:rsid w:val="003C2148"/>
    <w:rsid w:val="003E373B"/>
    <w:rsid w:val="003F2B77"/>
    <w:rsid w:val="003F6608"/>
    <w:rsid w:val="00411FA0"/>
    <w:rsid w:val="00413557"/>
    <w:rsid w:val="004218C2"/>
    <w:rsid w:val="0043561C"/>
    <w:rsid w:val="00441B94"/>
    <w:rsid w:val="0045535C"/>
    <w:rsid w:val="00463C73"/>
    <w:rsid w:val="0047396D"/>
    <w:rsid w:val="00474777"/>
    <w:rsid w:val="00477C57"/>
    <w:rsid w:val="00481AD7"/>
    <w:rsid w:val="00483138"/>
    <w:rsid w:val="00487481"/>
    <w:rsid w:val="004969B3"/>
    <w:rsid w:val="004A1EAF"/>
    <w:rsid w:val="004B0CD8"/>
    <w:rsid w:val="004B0D7A"/>
    <w:rsid w:val="004B606A"/>
    <w:rsid w:val="004C42EA"/>
    <w:rsid w:val="004C4FC3"/>
    <w:rsid w:val="004D5926"/>
    <w:rsid w:val="004D7362"/>
    <w:rsid w:val="004E3543"/>
    <w:rsid w:val="004F2DCF"/>
    <w:rsid w:val="004F7264"/>
    <w:rsid w:val="004F7512"/>
    <w:rsid w:val="00522D84"/>
    <w:rsid w:val="00524CE2"/>
    <w:rsid w:val="00531BBB"/>
    <w:rsid w:val="00532381"/>
    <w:rsid w:val="0053709B"/>
    <w:rsid w:val="00543153"/>
    <w:rsid w:val="005458EC"/>
    <w:rsid w:val="00546F42"/>
    <w:rsid w:val="00550783"/>
    <w:rsid w:val="0055719A"/>
    <w:rsid w:val="00561E17"/>
    <w:rsid w:val="0057065B"/>
    <w:rsid w:val="005718B1"/>
    <w:rsid w:val="00572159"/>
    <w:rsid w:val="00576538"/>
    <w:rsid w:val="00577756"/>
    <w:rsid w:val="00581A4B"/>
    <w:rsid w:val="0059023B"/>
    <w:rsid w:val="005B0C28"/>
    <w:rsid w:val="005B10B2"/>
    <w:rsid w:val="005B11A4"/>
    <w:rsid w:val="005B2174"/>
    <w:rsid w:val="005C1234"/>
    <w:rsid w:val="005C26BA"/>
    <w:rsid w:val="005C4D09"/>
    <w:rsid w:val="005D0E30"/>
    <w:rsid w:val="005D1170"/>
    <w:rsid w:val="005D30AA"/>
    <w:rsid w:val="005D70BE"/>
    <w:rsid w:val="005E6299"/>
    <w:rsid w:val="00600E60"/>
    <w:rsid w:val="00624639"/>
    <w:rsid w:val="00625EF1"/>
    <w:rsid w:val="00634915"/>
    <w:rsid w:val="006359B6"/>
    <w:rsid w:val="00635EAD"/>
    <w:rsid w:val="0064156D"/>
    <w:rsid w:val="00641A3C"/>
    <w:rsid w:val="00642F8F"/>
    <w:rsid w:val="00651C14"/>
    <w:rsid w:val="00655D98"/>
    <w:rsid w:val="00657906"/>
    <w:rsid w:val="006671EA"/>
    <w:rsid w:val="00675E3D"/>
    <w:rsid w:val="00676695"/>
    <w:rsid w:val="0069077D"/>
    <w:rsid w:val="00692094"/>
    <w:rsid w:val="006942FF"/>
    <w:rsid w:val="006968A3"/>
    <w:rsid w:val="006A2A77"/>
    <w:rsid w:val="006A3AAF"/>
    <w:rsid w:val="006A3D21"/>
    <w:rsid w:val="006A500C"/>
    <w:rsid w:val="006A5513"/>
    <w:rsid w:val="006B0683"/>
    <w:rsid w:val="006B06AC"/>
    <w:rsid w:val="006B2379"/>
    <w:rsid w:val="006C0E5B"/>
    <w:rsid w:val="006C7C2B"/>
    <w:rsid w:val="006D0995"/>
    <w:rsid w:val="006D3EEE"/>
    <w:rsid w:val="006D5545"/>
    <w:rsid w:val="006D577B"/>
    <w:rsid w:val="006D7867"/>
    <w:rsid w:val="006F4841"/>
    <w:rsid w:val="006F79E7"/>
    <w:rsid w:val="00702634"/>
    <w:rsid w:val="00702A24"/>
    <w:rsid w:val="00702A3E"/>
    <w:rsid w:val="00720FE5"/>
    <w:rsid w:val="00724065"/>
    <w:rsid w:val="0072548D"/>
    <w:rsid w:val="00727F86"/>
    <w:rsid w:val="007336EF"/>
    <w:rsid w:val="00747C2E"/>
    <w:rsid w:val="00761783"/>
    <w:rsid w:val="007700D7"/>
    <w:rsid w:val="0078325F"/>
    <w:rsid w:val="00795C3E"/>
    <w:rsid w:val="007A08B7"/>
    <w:rsid w:val="007A4C8B"/>
    <w:rsid w:val="007B5C87"/>
    <w:rsid w:val="007C3062"/>
    <w:rsid w:val="007D7D72"/>
    <w:rsid w:val="007E218B"/>
    <w:rsid w:val="007F5F9B"/>
    <w:rsid w:val="0080329E"/>
    <w:rsid w:val="00811D90"/>
    <w:rsid w:val="00823009"/>
    <w:rsid w:val="00831807"/>
    <w:rsid w:val="00833808"/>
    <w:rsid w:val="00843696"/>
    <w:rsid w:val="0084530E"/>
    <w:rsid w:val="008470A9"/>
    <w:rsid w:val="00850B31"/>
    <w:rsid w:val="00851401"/>
    <w:rsid w:val="00851940"/>
    <w:rsid w:val="00851AEA"/>
    <w:rsid w:val="00852353"/>
    <w:rsid w:val="0086044D"/>
    <w:rsid w:val="0086456F"/>
    <w:rsid w:val="00871383"/>
    <w:rsid w:val="00871729"/>
    <w:rsid w:val="00874586"/>
    <w:rsid w:val="008A0D28"/>
    <w:rsid w:val="008A4452"/>
    <w:rsid w:val="008A6179"/>
    <w:rsid w:val="008A7E0C"/>
    <w:rsid w:val="008B6A3C"/>
    <w:rsid w:val="008B7033"/>
    <w:rsid w:val="008B74AD"/>
    <w:rsid w:val="008D079B"/>
    <w:rsid w:val="008D14D2"/>
    <w:rsid w:val="008D5A77"/>
    <w:rsid w:val="008E27AE"/>
    <w:rsid w:val="008E4E0F"/>
    <w:rsid w:val="008E62D7"/>
    <w:rsid w:val="008F21E0"/>
    <w:rsid w:val="008F6CB8"/>
    <w:rsid w:val="009077EF"/>
    <w:rsid w:val="00911EA4"/>
    <w:rsid w:val="009226C7"/>
    <w:rsid w:val="009240E0"/>
    <w:rsid w:val="009249A5"/>
    <w:rsid w:val="00925FE4"/>
    <w:rsid w:val="009331DF"/>
    <w:rsid w:val="00940217"/>
    <w:rsid w:val="009418D8"/>
    <w:rsid w:val="00943806"/>
    <w:rsid w:val="00945145"/>
    <w:rsid w:val="009526D9"/>
    <w:rsid w:val="00953CD1"/>
    <w:rsid w:val="00956AAB"/>
    <w:rsid w:val="00975051"/>
    <w:rsid w:val="00977542"/>
    <w:rsid w:val="00980BCC"/>
    <w:rsid w:val="0098372E"/>
    <w:rsid w:val="009909F8"/>
    <w:rsid w:val="00993941"/>
    <w:rsid w:val="009961D4"/>
    <w:rsid w:val="009A4D70"/>
    <w:rsid w:val="009A748A"/>
    <w:rsid w:val="009B25D1"/>
    <w:rsid w:val="009E0F0C"/>
    <w:rsid w:val="009E4BAC"/>
    <w:rsid w:val="009E56B6"/>
    <w:rsid w:val="009F1723"/>
    <w:rsid w:val="009F41F6"/>
    <w:rsid w:val="00A10690"/>
    <w:rsid w:val="00A14B3E"/>
    <w:rsid w:val="00A14BA7"/>
    <w:rsid w:val="00A16ADE"/>
    <w:rsid w:val="00A2140D"/>
    <w:rsid w:val="00A23C60"/>
    <w:rsid w:val="00A23F4C"/>
    <w:rsid w:val="00A2518E"/>
    <w:rsid w:val="00A26139"/>
    <w:rsid w:val="00A32CBB"/>
    <w:rsid w:val="00A400D9"/>
    <w:rsid w:val="00A4055C"/>
    <w:rsid w:val="00A426B5"/>
    <w:rsid w:val="00A44672"/>
    <w:rsid w:val="00A46D12"/>
    <w:rsid w:val="00A551DA"/>
    <w:rsid w:val="00A55B75"/>
    <w:rsid w:val="00A57E51"/>
    <w:rsid w:val="00A6606B"/>
    <w:rsid w:val="00A71A41"/>
    <w:rsid w:val="00A75605"/>
    <w:rsid w:val="00A77712"/>
    <w:rsid w:val="00A82B84"/>
    <w:rsid w:val="00A95B50"/>
    <w:rsid w:val="00A96455"/>
    <w:rsid w:val="00A97FF1"/>
    <w:rsid w:val="00AA19C7"/>
    <w:rsid w:val="00AA5209"/>
    <w:rsid w:val="00AB0940"/>
    <w:rsid w:val="00AC3076"/>
    <w:rsid w:val="00AC58B8"/>
    <w:rsid w:val="00AC7871"/>
    <w:rsid w:val="00AD0F17"/>
    <w:rsid w:val="00AD1828"/>
    <w:rsid w:val="00AD75A7"/>
    <w:rsid w:val="00AF3946"/>
    <w:rsid w:val="00B02A50"/>
    <w:rsid w:val="00B10B03"/>
    <w:rsid w:val="00B254A0"/>
    <w:rsid w:val="00B315D6"/>
    <w:rsid w:val="00B33BDF"/>
    <w:rsid w:val="00B4040A"/>
    <w:rsid w:val="00B44318"/>
    <w:rsid w:val="00B50FBD"/>
    <w:rsid w:val="00B6570F"/>
    <w:rsid w:val="00B67C85"/>
    <w:rsid w:val="00B714B3"/>
    <w:rsid w:val="00B722C4"/>
    <w:rsid w:val="00B74C28"/>
    <w:rsid w:val="00B825C6"/>
    <w:rsid w:val="00BA09FC"/>
    <w:rsid w:val="00BA4B04"/>
    <w:rsid w:val="00BA4BD5"/>
    <w:rsid w:val="00BA6A8B"/>
    <w:rsid w:val="00BA7335"/>
    <w:rsid w:val="00BB095B"/>
    <w:rsid w:val="00BC2BC5"/>
    <w:rsid w:val="00BC77CE"/>
    <w:rsid w:val="00BD2867"/>
    <w:rsid w:val="00BD303D"/>
    <w:rsid w:val="00BE311C"/>
    <w:rsid w:val="00BE653B"/>
    <w:rsid w:val="00BF4DCB"/>
    <w:rsid w:val="00BF757C"/>
    <w:rsid w:val="00C02895"/>
    <w:rsid w:val="00C02E17"/>
    <w:rsid w:val="00C1443D"/>
    <w:rsid w:val="00C16612"/>
    <w:rsid w:val="00C2156C"/>
    <w:rsid w:val="00C255FC"/>
    <w:rsid w:val="00C34D91"/>
    <w:rsid w:val="00C36634"/>
    <w:rsid w:val="00C4132B"/>
    <w:rsid w:val="00C44347"/>
    <w:rsid w:val="00C45BC9"/>
    <w:rsid w:val="00C47EB9"/>
    <w:rsid w:val="00C5204A"/>
    <w:rsid w:val="00C603AF"/>
    <w:rsid w:val="00CB04CB"/>
    <w:rsid w:val="00CB0FB7"/>
    <w:rsid w:val="00CC2BFD"/>
    <w:rsid w:val="00CC2EF2"/>
    <w:rsid w:val="00CD4257"/>
    <w:rsid w:val="00CD4FCE"/>
    <w:rsid w:val="00CD5328"/>
    <w:rsid w:val="00CD7BBB"/>
    <w:rsid w:val="00CE55E9"/>
    <w:rsid w:val="00CF2F76"/>
    <w:rsid w:val="00CF41FF"/>
    <w:rsid w:val="00CF45F7"/>
    <w:rsid w:val="00CF7024"/>
    <w:rsid w:val="00D107E6"/>
    <w:rsid w:val="00D153FD"/>
    <w:rsid w:val="00D20791"/>
    <w:rsid w:val="00D22969"/>
    <w:rsid w:val="00D26E3D"/>
    <w:rsid w:val="00D33C42"/>
    <w:rsid w:val="00D37257"/>
    <w:rsid w:val="00D46670"/>
    <w:rsid w:val="00D50B7F"/>
    <w:rsid w:val="00D56B71"/>
    <w:rsid w:val="00D60933"/>
    <w:rsid w:val="00D62A9A"/>
    <w:rsid w:val="00D63EB0"/>
    <w:rsid w:val="00D67867"/>
    <w:rsid w:val="00D740BA"/>
    <w:rsid w:val="00D746FE"/>
    <w:rsid w:val="00D75E08"/>
    <w:rsid w:val="00D77063"/>
    <w:rsid w:val="00D94705"/>
    <w:rsid w:val="00DA20E4"/>
    <w:rsid w:val="00DB66F7"/>
    <w:rsid w:val="00DD13BF"/>
    <w:rsid w:val="00DD7938"/>
    <w:rsid w:val="00DE2301"/>
    <w:rsid w:val="00DE4FBD"/>
    <w:rsid w:val="00DF568F"/>
    <w:rsid w:val="00E06C96"/>
    <w:rsid w:val="00E10EC9"/>
    <w:rsid w:val="00E16316"/>
    <w:rsid w:val="00E2424E"/>
    <w:rsid w:val="00E30822"/>
    <w:rsid w:val="00E33A0C"/>
    <w:rsid w:val="00E445D6"/>
    <w:rsid w:val="00E51C4A"/>
    <w:rsid w:val="00E61582"/>
    <w:rsid w:val="00E65303"/>
    <w:rsid w:val="00E662D6"/>
    <w:rsid w:val="00E6709E"/>
    <w:rsid w:val="00E67276"/>
    <w:rsid w:val="00E927B6"/>
    <w:rsid w:val="00E945E7"/>
    <w:rsid w:val="00E946A2"/>
    <w:rsid w:val="00EB6021"/>
    <w:rsid w:val="00ED2CDB"/>
    <w:rsid w:val="00ED3B4B"/>
    <w:rsid w:val="00ED409D"/>
    <w:rsid w:val="00ED7698"/>
    <w:rsid w:val="00EE1C12"/>
    <w:rsid w:val="00F0529C"/>
    <w:rsid w:val="00F108AB"/>
    <w:rsid w:val="00F21FC0"/>
    <w:rsid w:val="00F258CD"/>
    <w:rsid w:val="00F25F31"/>
    <w:rsid w:val="00F30249"/>
    <w:rsid w:val="00F32E2C"/>
    <w:rsid w:val="00F36A2D"/>
    <w:rsid w:val="00F61446"/>
    <w:rsid w:val="00F6262D"/>
    <w:rsid w:val="00F63CA3"/>
    <w:rsid w:val="00F66CCF"/>
    <w:rsid w:val="00F74A5D"/>
    <w:rsid w:val="00F84C7F"/>
    <w:rsid w:val="00F85092"/>
    <w:rsid w:val="00FA382F"/>
    <w:rsid w:val="00FA57BE"/>
    <w:rsid w:val="00FA7EE6"/>
    <w:rsid w:val="00FB0811"/>
    <w:rsid w:val="00FB7FF3"/>
    <w:rsid w:val="00FC4046"/>
    <w:rsid w:val="00FD5E87"/>
    <w:rsid w:val="00FE5361"/>
    <w:rsid w:val="00FF4374"/>
    <w:rsid w:val="1ACF71A9"/>
    <w:rsid w:val="2D3FDB24"/>
    <w:rsid w:val="2DF6D43A"/>
    <w:rsid w:val="4EEF0DF1"/>
    <w:rsid w:val="596C4C35"/>
    <w:rsid w:val="6DFD2FF0"/>
    <w:rsid w:val="6FFD1693"/>
    <w:rsid w:val="73B48282"/>
    <w:rsid w:val="777F06AD"/>
    <w:rsid w:val="7AFB8E74"/>
    <w:rsid w:val="7D7FF393"/>
    <w:rsid w:val="7FE2F77D"/>
    <w:rsid w:val="7FF997F0"/>
    <w:rsid w:val="8BCE3712"/>
    <w:rsid w:val="ADFF0D98"/>
    <w:rsid w:val="AFE7AD60"/>
    <w:rsid w:val="E7EF1E3B"/>
    <w:rsid w:val="ED5E0720"/>
    <w:rsid w:val="EDFFB99C"/>
    <w:rsid w:val="FA0BFB52"/>
    <w:rsid w:val="FBEB0117"/>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66023A"/>
  <w15:docId w15:val="{DD31FF2B-674A-D347-8757-3367F695F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uiPriority="99" w:unhideWhenUsed="1" w:qFormat="1"/>
    <w:lsdException w:name="caption" w:semiHidden="1" w:unhideWhenUsed="1" w:qFormat="1"/>
    <w:lsdException w:name="footnote reference" w:qFormat="1"/>
    <w:lsdException w:name="annotation reference"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4065"/>
    <w:rPr>
      <w:rFonts w:ascii="SimSun" w:hAnsi="SimSun"/>
      <w:sz w:val="24"/>
      <w:szCs w:val="24"/>
    </w:rPr>
  </w:style>
  <w:style w:type="paragraph" w:styleId="Heading1">
    <w:name w:val="heading 1"/>
    <w:basedOn w:val="Normal"/>
    <w:next w:val="Normal"/>
    <w:link w:val="Heading1Char"/>
    <w:uiPriority w:val="99"/>
    <w:qFormat/>
    <w:rsid w:val="005B11A4"/>
    <w:pPr>
      <w:keepNext/>
      <w:keepLines/>
      <w:widowControl w:val="0"/>
      <w:spacing w:before="240" w:after="100" w:afterAutospacing="1"/>
      <w:outlineLvl w:val="0"/>
    </w:pPr>
    <w:rPr>
      <w:rFonts w:ascii="Calibri Light" w:hAnsi="Calibri Light"/>
      <w:color w:val="2E75B5"/>
      <w:sz w:val="32"/>
      <w:szCs w:val="32"/>
    </w:rPr>
  </w:style>
  <w:style w:type="paragraph" w:styleId="Heading2">
    <w:name w:val="heading 2"/>
    <w:basedOn w:val="Normal"/>
    <w:next w:val="Normal"/>
    <w:link w:val="Heading2Char"/>
    <w:semiHidden/>
    <w:unhideWhenUsed/>
    <w:qFormat/>
    <w:rsid w:val="00BE653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widowControl w:val="0"/>
      <w:jc w:val="both"/>
    </w:pPr>
    <w:rPr>
      <w:rFonts w:hAnsiTheme="minorHAnsi" w:cstheme="minorBidi"/>
      <w:kern w:val="2"/>
      <w:sz w:val="18"/>
      <w:szCs w:val="18"/>
    </w:rPr>
  </w:style>
  <w:style w:type="character" w:styleId="CommentReference">
    <w:name w:val="annotation reference"/>
    <w:basedOn w:val="DefaultParagraphFont"/>
    <w:qFormat/>
    <w:rPr>
      <w:sz w:val="21"/>
      <w:szCs w:val="21"/>
    </w:rPr>
  </w:style>
  <w:style w:type="paragraph" w:styleId="CommentText">
    <w:name w:val="annotation text"/>
    <w:basedOn w:val="Normal"/>
    <w:link w:val="CommentTextChar"/>
    <w:qFormat/>
    <w:pPr>
      <w:widowControl w:val="0"/>
    </w:pPr>
    <w:rPr>
      <w:rFonts w:asciiTheme="minorHAnsi" w:eastAsiaTheme="minorEastAsia" w:hAnsiTheme="minorHAnsi" w:cstheme="minorBidi"/>
      <w:kern w:val="2"/>
      <w:sz w:val="21"/>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link w:val="DocumentMapChar"/>
    <w:qFormat/>
    <w:pPr>
      <w:widowControl w:val="0"/>
      <w:jc w:val="both"/>
    </w:pPr>
    <w:rPr>
      <w:rFonts w:hAnsiTheme="minorHAnsi" w:cstheme="minorBidi"/>
      <w:kern w:val="2"/>
    </w:rPr>
  </w:style>
  <w:style w:type="character" w:styleId="FollowedHyperlink">
    <w:name w:val="FollowedHyperlink"/>
    <w:basedOn w:val="DefaultParagraphFont"/>
    <w:qFormat/>
    <w:rPr>
      <w:color w:val="954F72" w:themeColor="followedHyperlink"/>
      <w:u w:val="single"/>
    </w:rPr>
  </w:style>
  <w:style w:type="paragraph" w:styleId="Footer">
    <w:name w:val="footer"/>
    <w:basedOn w:val="Normal"/>
    <w:link w:val="FooterChar"/>
    <w:uiPriority w:val="99"/>
    <w:unhideWhenUsed/>
    <w:qFormat/>
    <w:pPr>
      <w:widowControl w:val="0"/>
      <w:snapToGrid w:val="0"/>
    </w:pPr>
    <w:rPr>
      <w:rFonts w:ascii="Calibri" w:hAnsi="Calibri"/>
      <w:kern w:val="2"/>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widowControl w:val="0"/>
      <w:snapToGrid w:val="0"/>
      <w:jc w:val="both"/>
    </w:pPr>
    <w:rPr>
      <w:rFonts w:asciiTheme="minorHAnsi" w:eastAsia="Times New Roman" w:hAnsiTheme="minorHAnsi" w:cstheme="minorBidi"/>
      <w:kern w:val="2"/>
      <w:sz w:val="18"/>
      <w:szCs w:val="18"/>
    </w:rPr>
  </w:style>
  <w:style w:type="paragraph" w:styleId="Header">
    <w:name w:val="header"/>
    <w:basedOn w:val="Normal"/>
    <w:link w:val="HeaderChar"/>
    <w:qFormat/>
    <w:pPr>
      <w:widowControl w:val="0"/>
      <w:tabs>
        <w:tab w:val="center" w:pos="4513"/>
        <w:tab w:val="right" w:pos="9026"/>
      </w:tabs>
      <w:jc w:val="both"/>
    </w:pPr>
    <w:rPr>
      <w:rFonts w:asciiTheme="minorHAnsi" w:eastAsiaTheme="minorEastAsia" w:hAnsiTheme="minorHAnsi" w:cstheme="minorBidi"/>
      <w:kern w:val="2"/>
      <w:sz w:val="21"/>
    </w:rPr>
  </w:style>
  <w:style w:type="character" w:styleId="Hyperlink">
    <w:name w:val="Hyperlink"/>
    <w:basedOn w:val="DefaultParagraphFont"/>
    <w:qFormat/>
    <w:rPr>
      <w:color w:val="0563C1" w:themeColor="hyperlink"/>
      <w:u w:val="single"/>
    </w:rPr>
  </w:style>
  <w:style w:type="paragraph" w:styleId="NormalWeb">
    <w:name w:val="Normal (Web)"/>
    <w:basedOn w:val="Normal"/>
    <w:qFormat/>
    <w:pPr>
      <w:widowControl w:val="0"/>
      <w:spacing w:beforeAutospacing="1" w:afterAutospacing="1"/>
    </w:pPr>
    <w:rPr>
      <w:rFonts w:asciiTheme="minorHAnsi" w:eastAsiaTheme="minorEastAsia" w:hAnsiTheme="minorHAnsi"/>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widowControl w:val="0"/>
      <w:spacing w:before="240" w:after="60"/>
      <w:jc w:val="center"/>
      <w:outlineLvl w:val="0"/>
    </w:pPr>
    <w:rPr>
      <w:rFonts w:asciiTheme="majorHAnsi" w:eastAsiaTheme="majorEastAsia" w:hAnsiTheme="majorHAnsi" w:cstheme="majorBidi"/>
      <w:b/>
      <w:bCs/>
      <w:kern w:val="2"/>
      <w:sz w:val="32"/>
      <w:szCs w:val="32"/>
    </w:rPr>
  </w:style>
  <w:style w:type="table" w:customStyle="1" w:styleId="GridTable1Light1">
    <w:name w:val="Grid Table 1 Light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itleChar">
    <w:name w:val="Title Char"/>
    <w:basedOn w:val="DefaultParagraphFont"/>
    <w:link w:val="Title"/>
    <w:qFormat/>
    <w:rPr>
      <w:rFonts w:asciiTheme="majorHAnsi" w:eastAsiaTheme="majorEastAsia" w:hAnsiTheme="majorHAnsi" w:cstheme="majorBidi"/>
      <w:b/>
      <w:bCs/>
      <w:kern w:val="2"/>
      <w:sz w:val="32"/>
      <w:szCs w:val="32"/>
    </w:rPr>
  </w:style>
  <w:style w:type="character" w:customStyle="1" w:styleId="BalloonTextChar">
    <w:name w:val="Balloon Text Char"/>
    <w:basedOn w:val="DefaultParagraphFont"/>
    <w:link w:val="BalloonText"/>
    <w:qFormat/>
    <w:rPr>
      <w:rFonts w:ascii="SimSun" w:eastAsia="SimSun" w:hAnsiTheme="minorHAnsi" w:cstheme="minorBidi"/>
      <w:kern w:val="2"/>
      <w:sz w:val="18"/>
      <w:szCs w:val="18"/>
    </w:rPr>
  </w:style>
  <w:style w:type="character" w:customStyle="1" w:styleId="CommentTextChar">
    <w:name w:val="Comment Text Char"/>
    <w:basedOn w:val="DefaultParagraphFont"/>
    <w:link w:val="CommentText"/>
    <w:qFormat/>
    <w:rPr>
      <w:rFonts w:asciiTheme="minorHAnsi"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hAnsiTheme="minorHAnsi" w:cstheme="minorBidi"/>
      <w:b/>
      <w:bCs/>
      <w:kern w:val="2"/>
      <w:sz w:val="21"/>
      <w:szCs w:val="24"/>
    </w:rPr>
  </w:style>
  <w:style w:type="character" w:customStyle="1" w:styleId="FooterChar">
    <w:name w:val="Footer Char"/>
    <w:basedOn w:val="DefaultParagraphFont"/>
    <w:link w:val="Footer"/>
    <w:uiPriority w:val="99"/>
    <w:qFormat/>
    <w:rPr>
      <w:rFonts w:ascii="Calibri" w:eastAsia="SimSun" w:hAnsi="Calibri"/>
      <w:kern w:val="2"/>
      <w:sz w:val="18"/>
      <w:szCs w:val="18"/>
    </w:rPr>
  </w:style>
  <w:style w:type="character" w:customStyle="1" w:styleId="15">
    <w:name w:val="15"/>
    <w:basedOn w:val="DefaultParagraphFont"/>
    <w:qFormat/>
    <w:rPr>
      <w:rFonts w:ascii="Times New Roman" w:hAnsi="Times New Roman" w:cs="Times New Roman" w:hint="default"/>
      <w:color w:val="0000FF"/>
      <w:u w:val="single"/>
    </w:rPr>
  </w:style>
  <w:style w:type="character" w:customStyle="1" w:styleId="DocumentMapChar">
    <w:name w:val="Document Map Char"/>
    <w:basedOn w:val="DefaultParagraphFont"/>
    <w:link w:val="DocumentMap"/>
    <w:qFormat/>
    <w:rPr>
      <w:rFonts w:ascii="SimSun" w:eastAsia="SimSun" w:hAnsiTheme="minorHAnsi" w:cstheme="minorBidi"/>
      <w:kern w:val="2"/>
      <w:sz w:val="24"/>
      <w:szCs w:val="24"/>
    </w:rPr>
  </w:style>
  <w:style w:type="character" w:customStyle="1" w:styleId="1">
    <w:name w:val="未处理的提及1"/>
    <w:basedOn w:val="DefaultParagraphFont"/>
    <w:qFormat/>
    <w:rPr>
      <w:color w:val="605E5C"/>
      <w:shd w:val="clear" w:color="auto" w:fill="E1DFDD"/>
    </w:rPr>
  </w:style>
  <w:style w:type="paragraph" w:styleId="ListParagraph">
    <w:name w:val="List Paragraph"/>
    <w:basedOn w:val="Normal"/>
    <w:uiPriority w:val="99"/>
    <w:qFormat/>
    <w:pPr>
      <w:widowControl w:val="0"/>
      <w:ind w:left="720"/>
      <w:contextualSpacing/>
      <w:jc w:val="both"/>
    </w:pPr>
    <w:rPr>
      <w:rFonts w:asciiTheme="minorHAnsi" w:eastAsiaTheme="minorEastAsia" w:hAnsiTheme="minorHAnsi" w:cstheme="minorBidi"/>
      <w:kern w:val="2"/>
      <w:sz w:val="21"/>
    </w:rPr>
  </w:style>
  <w:style w:type="paragraph" w:customStyle="1" w:styleId="10">
    <w:name w:val="修订1"/>
    <w:hidden/>
    <w:uiPriority w:val="99"/>
    <w:semiHidden/>
    <w:qFormat/>
    <w:rPr>
      <w:rFonts w:asciiTheme="minorHAnsi" w:eastAsiaTheme="minorEastAsia" w:hAnsiTheme="minorHAnsi" w:cstheme="minorBidi"/>
      <w:kern w:val="2"/>
      <w:sz w:val="21"/>
      <w:szCs w:val="24"/>
    </w:rPr>
  </w:style>
  <w:style w:type="paragraph" w:customStyle="1" w:styleId="2">
    <w:name w:val="修订2"/>
    <w:hidden/>
    <w:uiPriority w:val="99"/>
    <w:semiHidden/>
    <w:qFormat/>
    <w:rPr>
      <w:rFonts w:asciiTheme="minorHAnsi" w:eastAsiaTheme="minorEastAsia" w:hAnsiTheme="minorHAnsi" w:cstheme="minorBidi"/>
      <w:kern w:val="2"/>
      <w:sz w:val="21"/>
      <w:szCs w:val="24"/>
    </w:rPr>
  </w:style>
  <w:style w:type="character" w:customStyle="1" w:styleId="HeaderChar">
    <w:name w:val="Header Char"/>
    <w:basedOn w:val="DefaultParagraphFont"/>
    <w:link w:val="Header"/>
    <w:qFormat/>
    <w:rPr>
      <w:rFonts w:asciiTheme="minorHAnsi" w:eastAsiaTheme="minorEastAsia" w:hAnsiTheme="minorHAnsi" w:cstheme="minorBidi"/>
      <w:kern w:val="2"/>
      <w:sz w:val="21"/>
      <w:szCs w:val="24"/>
      <w:lang w:val="en-US"/>
    </w:rPr>
  </w:style>
  <w:style w:type="character" w:customStyle="1" w:styleId="font31">
    <w:name w:val="font31"/>
    <w:basedOn w:val="DefaultParagraphFont"/>
    <w:rPr>
      <w:rFonts w:ascii="Microsoft YaHei" w:eastAsia="Microsoft YaHei" w:hAnsi="Microsoft YaHei" w:hint="eastAsia"/>
      <w:color w:val="000000"/>
      <w:sz w:val="24"/>
      <w:szCs w:val="24"/>
      <w:u w:val="none"/>
    </w:rPr>
  </w:style>
  <w:style w:type="character" w:customStyle="1" w:styleId="font41">
    <w:name w:val="font41"/>
    <w:basedOn w:val="DefaultParagraphFont"/>
    <w:rPr>
      <w:rFonts w:ascii="Microsoft YaHei" w:eastAsia="Microsoft YaHei" w:hAnsi="Microsoft YaHei" w:hint="eastAsia"/>
      <w:color w:val="C00000"/>
      <w:sz w:val="24"/>
      <w:szCs w:val="24"/>
      <w:u w:val="none"/>
    </w:rPr>
  </w:style>
  <w:style w:type="character" w:customStyle="1" w:styleId="font11">
    <w:name w:val="font11"/>
    <w:basedOn w:val="DefaultParagraphFont"/>
    <w:rPr>
      <w:rFonts w:ascii="Calibri" w:hAnsi="Calibri" w:cs="Calibri" w:hint="default"/>
      <w:color w:val="000000"/>
      <w:sz w:val="24"/>
      <w:szCs w:val="24"/>
      <w:u w:val="none"/>
    </w:rPr>
  </w:style>
  <w:style w:type="character" w:customStyle="1" w:styleId="Heading1Char">
    <w:name w:val="Heading 1 Char"/>
    <w:basedOn w:val="DefaultParagraphFont"/>
    <w:link w:val="Heading1"/>
    <w:uiPriority w:val="99"/>
    <w:rsid w:val="005B11A4"/>
    <w:rPr>
      <w:rFonts w:ascii="Calibri Light" w:hAnsi="Calibri Light"/>
      <w:color w:val="2E75B5"/>
      <w:sz w:val="32"/>
      <w:szCs w:val="32"/>
    </w:rPr>
  </w:style>
  <w:style w:type="character" w:styleId="UnresolvedMention">
    <w:name w:val="Unresolved Mention"/>
    <w:basedOn w:val="DefaultParagraphFont"/>
    <w:uiPriority w:val="99"/>
    <w:semiHidden/>
    <w:unhideWhenUsed/>
    <w:rsid w:val="00724065"/>
    <w:rPr>
      <w:color w:val="605E5C"/>
      <w:shd w:val="clear" w:color="auto" w:fill="E1DFDD"/>
    </w:rPr>
  </w:style>
  <w:style w:type="paragraph" w:styleId="Revision">
    <w:name w:val="Revision"/>
    <w:hidden/>
    <w:uiPriority w:val="99"/>
    <w:unhideWhenUsed/>
    <w:rsid w:val="00581A4B"/>
    <w:rPr>
      <w:rFonts w:ascii="SimSun" w:hAnsi="SimSun"/>
      <w:sz w:val="24"/>
      <w:szCs w:val="24"/>
    </w:rPr>
  </w:style>
  <w:style w:type="paragraph" w:customStyle="1" w:styleId="TableText">
    <w:name w:val="Table Text"/>
    <w:basedOn w:val="Normal"/>
    <w:semiHidden/>
    <w:qFormat/>
    <w:rsid w:val="00D62A9A"/>
    <w:pPr>
      <w:kinsoku w:val="0"/>
      <w:autoSpaceDE w:val="0"/>
      <w:autoSpaceDN w:val="0"/>
      <w:adjustRightInd w:val="0"/>
      <w:snapToGrid w:val="0"/>
      <w:spacing w:after="160"/>
      <w:textAlignment w:val="baseline"/>
    </w:pPr>
    <w:rPr>
      <w:rFonts w:ascii="Microsoft YaHei" w:eastAsia="Microsoft YaHei" w:hAnsi="Microsoft YaHei" w:cs="Microsoft YaHei"/>
      <w:noProof/>
      <w:snapToGrid w:val="0"/>
      <w:color w:val="000000"/>
      <w:sz w:val="18"/>
      <w:szCs w:val="18"/>
      <w:lang w:eastAsia="en-US"/>
    </w:rPr>
  </w:style>
  <w:style w:type="character" w:customStyle="1" w:styleId="font61">
    <w:name w:val="font61"/>
    <w:basedOn w:val="DefaultParagraphFont"/>
    <w:rsid w:val="00284E18"/>
    <w:rPr>
      <w:rFonts w:ascii="Microsoft YaHei" w:eastAsia="Microsoft YaHei" w:hAnsi="Microsoft YaHei" w:hint="eastAsia"/>
      <w:b w:val="0"/>
      <w:bCs w:val="0"/>
      <w:i w:val="0"/>
      <w:iCs w:val="0"/>
      <w:strike w:val="0"/>
      <w:dstrike w:val="0"/>
      <w:color w:val="FF0000"/>
      <w:sz w:val="24"/>
      <w:szCs w:val="24"/>
      <w:u w:val="none"/>
      <w:effect w:val="none"/>
    </w:rPr>
  </w:style>
  <w:style w:type="character" w:customStyle="1" w:styleId="font71">
    <w:name w:val="font71"/>
    <w:basedOn w:val="DefaultParagraphFont"/>
    <w:rsid w:val="00284E18"/>
    <w:rPr>
      <w:rFonts w:ascii="Microsoft YaHei" w:eastAsia="Microsoft YaHei" w:hAnsi="Microsoft YaHei" w:hint="eastAsia"/>
      <w:b w:val="0"/>
      <w:bCs w:val="0"/>
      <w:i w:val="0"/>
      <w:iCs w:val="0"/>
      <w:strike w:val="0"/>
      <w:dstrike w:val="0"/>
      <w:color w:val="00B050"/>
      <w:sz w:val="24"/>
      <w:szCs w:val="24"/>
      <w:u w:val="none"/>
      <w:effect w:val="none"/>
    </w:rPr>
  </w:style>
  <w:style w:type="character" w:customStyle="1" w:styleId="font51">
    <w:name w:val="font51"/>
    <w:basedOn w:val="DefaultParagraphFont"/>
    <w:rsid w:val="00284E18"/>
    <w:rPr>
      <w:rFonts w:ascii="Calibri Light" w:hAnsi="Calibri Light" w:cs="Calibri Light" w:hint="default"/>
      <w:b w:val="0"/>
      <w:bCs w:val="0"/>
      <w:i w:val="0"/>
      <w:iCs w:val="0"/>
      <w:strike w:val="0"/>
      <w:dstrike w:val="0"/>
      <w:color w:val="000000"/>
      <w:sz w:val="22"/>
      <w:szCs w:val="22"/>
      <w:u w:val="none"/>
      <w:effect w:val="none"/>
    </w:rPr>
  </w:style>
  <w:style w:type="character" w:customStyle="1" w:styleId="Heading2Char">
    <w:name w:val="Heading 2 Char"/>
    <w:basedOn w:val="DefaultParagraphFont"/>
    <w:link w:val="Heading2"/>
    <w:semiHidden/>
    <w:rsid w:val="00BE653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573800">
      <w:bodyDiv w:val="1"/>
      <w:marLeft w:val="0"/>
      <w:marRight w:val="0"/>
      <w:marTop w:val="0"/>
      <w:marBottom w:val="0"/>
      <w:divBdr>
        <w:top w:val="none" w:sz="0" w:space="0" w:color="auto"/>
        <w:left w:val="none" w:sz="0" w:space="0" w:color="auto"/>
        <w:bottom w:val="none" w:sz="0" w:space="0" w:color="auto"/>
        <w:right w:val="none" w:sz="0" w:space="0" w:color="auto"/>
      </w:divBdr>
    </w:div>
    <w:div w:id="387998853">
      <w:bodyDiv w:val="1"/>
      <w:marLeft w:val="0"/>
      <w:marRight w:val="0"/>
      <w:marTop w:val="0"/>
      <w:marBottom w:val="0"/>
      <w:divBdr>
        <w:top w:val="none" w:sz="0" w:space="0" w:color="auto"/>
        <w:left w:val="none" w:sz="0" w:space="0" w:color="auto"/>
        <w:bottom w:val="none" w:sz="0" w:space="0" w:color="auto"/>
        <w:right w:val="none" w:sz="0" w:space="0" w:color="auto"/>
      </w:divBdr>
    </w:div>
    <w:div w:id="440106210">
      <w:bodyDiv w:val="1"/>
      <w:marLeft w:val="0"/>
      <w:marRight w:val="0"/>
      <w:marTop w:val="0"/>
      <w:marBottom w:val="0"/>
      <w:divBdr>
        <w:top w:val="none" w:sz="0" w:space="0" w:color="auto"/>
        <w:left w:val="none" w:sz="0" w:space="0" w:color="auto"/>
        <w:bottom w:val="none" w:sz="0" w:space="0" w:color="auto"/>
        <w:right w:val="none" w:sz="0" w:space="0" w:color="auto"/>
      </w:divBdr>
    </w:div>
    <w:div w:id="835807057">
      <w:bodyDiv w:val="1"/>
      <w:marLeft w:val="0"/>
      <w:marRight w:val="0"/>
      <w:marTop w:val="0"/>
      <w:marBottom w:val="0"/>
      <w:divBdr>
        <w:top w:val="none" w:sz="0" w:space="0" w:color="auto"/>
        <w:left w:val="none" w:sz="0" w:space="0" w:color="auto"/>
        <w:bottom w:val="none" w:sz="0" w:space="0" w:color="auto"/>
        <w:right w:val="none" w:sz="0" w:space="0" w:color="auto"/>
      </w:divBdr>
    </w:div>
    <w:div w:id="929389689">
      <w:bodyDiv w:val="1"/>
      <w:marLeft w:val="0"/>
      <w:marRight w:val="0"/>
      <w:marTop w:val="0"/>
      <w:marBottom w:val="0"/>
      <w:divBdr>
        <w:top w:val="none" w:sz="0" w:space="0" w:color="auto"/>
        <w:left w:val="none" w:sz="0" w:space="0" w:color="auto"/>
        <w:bottom w:val="none" w:sz="0" w:space="0" w:color="auto"/>
        <w:right w:val="none" w:sz="0" w:space="0" w:color="auto"/>
      </w:divBdr>
    </w:div>
    <w:div w:id="1004748925">
      <w:bodyDiv w:val="1"/>
      <w:marLeft w:val="0"/>
      <w:marRight w:val="0"/>
      <w:marTop w:val="0"/>
      <w:marBottom w:val="0"/>
      <w:divBdr>
        <w:top w:val="none" w:sz="0" w:space="0" w:color="auto"/>
        <w:left w:val="none" w:sz="0" w:space="0" w:color="auto"/>
        <w:bottom w:val="none" w:sz="0" w:space="0" w:color="auto"/>
        <w:right w:val="none" w:sz="0" w:space="0" w:color="auto"/>
      </w:divBdr>
    </w:div>
    <w:div w:id="1165244256">
      <w:bodyDiv w:val="1"/>
      <w:marLeft w:val="0"/>
      <w:marRight w:val="0"/>
      <w:marTop w:val="0"/>
      <w:marBottom w:val="0"/>
      <w:divBdr>
        <w:top w:val="none" w:sz="0" w:space="0" w:color="auto"/>
        <w:left w:val="none" w:sz="0" w:space="0" w:color="auto"/>
        <w:bottom w:val="none" w:sz="0" w:space="0" w:color="auto"/>
        <w:right w:val="none" w:sz="0" w:space="0" w:color="auto"/>
      </w:divBdr>
    </w:div>
    <w:div w:id="1407875864">
      <w:bodyDiv w:val="1"/>
      <w:marLeft w:val="0"/>
      <w:marRight w:val="0"/>
      <w:marTop w:val="0"/>
      <w:marBottom w:val="0"/>
      <w:divBdr>
        <w:top w:val="none" w:sz="0" w:space="0" w:color="auto"/>
        <w:left w:val="none" w:sz="0" w:space="0" w:color="auto"/>
        <w:bottom w:val="none" w:sz="0" w:space="0" w:color="auto"/>
        <w:right w:val="none" w:sz="0" w:space="0" w:color="auto"/>
      </w:divBdr>
    </w:div>
    <w:div w:id="1412313254">
      <w:bodyDiv w:val="1"/>
      <w:marLeft w:val="0"/>
      <w:marRight w:val="0"/>
      <w:marTop w:val="0"/>
      <w:marBottom w:val="0"/>
      <w:divBdr>
        <w:top w:val="none" w:sz="0" w:space="0" w:color="auto"/>
        <w:left w:val="none" w:sz="0" w:space="0" w:color="auto"/>
        <w:bottom w:val="none" w:sz="0" w:space="0" w:color="auto"/>
        <w:right w:val="none" w:sz="0" w:space="0" w:color="auto"/>
      </w:divBdr>
    </w:div>
    <w:div w:id="2010131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hgprotocol.org/sites/default/files/standards/Corporate-Value-Chain-Accounting-Reporing-Standard_041613_2.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ghgprotocol.org/sites/default/files/standards/ghg-protocol-revised.pdf" TargetMode="External"/><Relationship Id="rId17" Type="http://schemas.openxmlformats.org/officeDocument/2006/relationships/hyperlink" Target="https://wwwen.ipe.org.cn/index.html" TargetMode="External"/><Relationship Id="rId2" Type="http://schemas.openxmlformats.org/officeDocument/2006/relationships/customXml" Target="../customXml/item2.xml"/><Relationship Id="rId16" Type="http://schemas.openxmlformats.org/officeDocument/2006/relationships/hyperlink" Target="http://www.ipe.org.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hgprotocol.org/sites/default/files/standards/Chinese_small.pdf" TargetMode="External"/><Relationship Id="rId5" Type="http://schemas.openxmlformats.org/officeDocument/2006/relationships/settings" Target="settings.xml"/><Relationship Id="rId15" Type="http://schemas.openxmlformats.org/officeDocument/2006/relationships/hyperlink" Target="http://openstd.samr.gov.cn/bzgk/gb/newGbInfo?hcno=72CAC235079529798A1B76B9BA20BB2A" TargetMode="External"/><Relationship Id="rId10" Type="http://schemas.openxmlformats.org/officeDocument/2006/relationships/hyperlink" Target="https://www.ipcc.ch/sr15/chapter/glossary/"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ghgprotocol.org/sites/default/files/standards/Corporate-Value-Chain-Accounting-Reporing-Standard_041613_2.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en.ipe.org.cn/GreenSupplyChain/GreenEcologyChain.html" TargetMode="External"/><Relationship Id="rId1" Type="http://schemas.openxmlformats.org/officeDocument/2006/relationships/hyperlink" Target="http://www.ipe.org.cn/GreenSupplyChain/GreenEcologyChain.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77DFD19-D2A3-2042-BC0C-8DF535DDFBC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ipe-gmc</dc:creator>
  <cp:lastModifiedBy>ziqi zhu</cp:lastModifiedBy>
  <cp:revision>4</cp:revision>
  <cp:lastPrinted>2025-10-05T07:10:00Z</cp:lastPrinted>
  <dcterms:created xsi:type="dcterms:W3CDTF">2026-09-11T01:29:00Z</dcterms:created>
  <dcterms:modified xsi:type="dcterms:W3CDTF">2026-09-14T06:43:00Z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1033-6.5.2.8766</vt:lpwstr>
  </property>
  <property fmtid="{D5CDD505-2E9C-101B-9397-08002B2CF9AE}" pid="3" name="ICV">
    <vt:lpwstr>EF07421B770047925E0CFC6523329D83_43</vt:lpwstr>
  </property>
</Properties>
</file>